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D43958" w:rsidRDefault="00383A70" w:rsidP="00891BD4">
      <w:pPr>
        <w:spacing w:before="0" w:after="0"/>
        <w:rPr>
          <w:color w:val="FF0000"/>
          <w:sz w:val="2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2127"/>
        <w:gridCol w:w="2551"/>
        <w:gridCol w:w="2126"/>
        <w:gridCol w:w="1728"/>
      </w:tblGrid>
      <w:tr w:rsidR="008F6460" w:rsidRPr="00E9602C" w:rsidTr="00317A49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2976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127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551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728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317A49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12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551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505E16" w:rsidRPr="00E9602C" w:rsidTr="00317A49">
        <w:trPr>
          <w:trHeight w:val="851"/>
        </w:trPr>
        <w:tc>
          <w:tcPr>
            <w:tcW w:w="1668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Seringue </w:t>
            </w:r>
            <w:proofErr w:type="spellStart"/>
            <w:r w:rsidRPr="00317A49">
              <w:rPr>
                <w:sz w:val="18"/>
                <w:szCs w:val="20"/>
              </w:rPr>
              <w:t>unidose</w:t>
            </w:r>
            <w:proofErr w:type="spellEnd"/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100 mg / 0.67 </w:t>
            </w:r>
            <w:proofErr w:type="spellStart"/>
            <w:r w:rsidRPr="00317A49">
              <w:rPr>
                <w:sz w:val="18"/>
                <w:szCs w:val="20"/>
              </w:rPr>
              <w:t>mL</w:t>
            </w:r>
            <w:proofErr w:type="spellEnd"/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Le capuchon de l’aiguille contient du latex 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Déjà dilué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Ne pas agiter </w:t>
            </w:r>
          </w:p>
        </w:tc>
        <w:tc>
          <w:tcPr>
            <w:tcW w:w="2127" w:type="dxa"/>
            <w:tcBorders>
              <w:top w:val="single" w:sz="24" w:space="0" w:color="auto"/>
              <w:lef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Perfusion intermittente</w:t>
            </w: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0-200 mg  </w:t>
            </w:r>
          </w:p>
        </w:tc>
        <w:tc>
          <w:tcPr>
            <w:tcW w:w="2551" w:type="dxa"/>
            <w:tcBorders>
              <w:top w:val="single" w:sz="24" w:space="0" w:color="auto"/>
            </w:tcBorders>
          </w:tcPr>
          <w:p w:rsidR="00505E16" w:rsidRPr="00317A49" w:rsidRDefault="00505E16" w:rsidP="000F7419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Mini sac </w:t>
            </w:r>
            <w:r w:rsidRPr="00317A49">
              <w:rPr>
                <w:sz w:val="18"/>
                <w:szCs w:val="20"/>
              </w:rPr>
              <w:t xml:space="preserve">50 </w:t>
            </w:r>
            <w:proofErr w:type="spellStart"/>
            <w:r w:rsidRPr="00317A49">
              <w:rPr>
                <w:sz w:val="18"/>
                <w:szCs w:val="20"/>
              </w:rPr>
              <w:t>mL</w:t>
            </w:r>
            <w:proofErr w:type="spellEnd"/>
            <w:r w:rsidRPr="00317A49">
              <w:rPr>
                <w:sz w:val="18"/>
                <w:szCs w:val="20"/>
              </w:rPr>
              <w:t xml:space="preserve"> </w:t>
            </w:r>
            <w:r w:rsidRPr="00317A49">
              <w:rPr>
                <w:sz w:val="18"/>
                <w:szCs w:val="20"/>
              </w:rPr>
              <w:t>de NS</w:t>
            </w:r>
          </w:p>
          <w:p w:rsidR="00505E16" w:rsidRPr="00317A49" w:rsidRDefault="00505E16" w:rsidP="000F7419">
            <w:pPr>
              <w:pStyle w:val="Sansinterligne"/>
              <w:rPr>
                <w:sz w:val="18"/>
                <w:szCs w:val="20"/>
              </w:rPr>
            </w:pPr>
          </w:p>
          <w:p w:rsidR="00505E16" w:rsidRPr="00317A49" w:rsidRDefault="00505E16" w:rsidP="000F7419">
            <w:pPr>
              <w:pStyle w:val="Sansinterligne"/>
              <w:rPr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En 30 minutes</w:t>
            </w: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Protéger le sac </w:t>
            </w:r>
            <w:r w:rsidRPr="00317A49">
              <w:rPr>
                <w:b/>
                <w:sz w:val="18"/>
                <w:szCs w:val="20"/>
              </w:rPr>
              <w:t>et la tubulure</w:t>
            </w:r>
            <w:r w:rsidRPr="00317A49">
              <w:rPr>
                <w:sz w:val="18"/>
                <w:szCs w:val="20"/>
              </w:rPr>
              <w:t xml:space="preserve"> de la lumière pendant toute la durée de l’administration du médicament </w:t>
            </w:r>
          </w:p>
        </w:tc>
        <w:tc>
          <w:tcPr>
            <w:tcW w:w="1728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505E16" w:rsidRDefault="00E57AFE" w:rsidP="00664B42">
            <w:pPr>
              <w:pStyle w:val="Sansinterligne"/>
              <w:rPr>
                <w:sz w:val="18"/>
                <w:szCs w:val="21"/>
              </w:rPr>
            </w:pPr>
            <w:r w:rsidRPr="00317A49">
              <w:rPr>
                <w:sz w:val="18"/>
                <w:szCs w:val="21"/>
              </w:rPr>
              <w:t>Transférer le contenu de la seringue d’</w:t>
            </w:r>
            <w:proofErr w:type="spellStart"/>
            <w:r w:rsidRPr="00317A49">
              <w:rPr>
                <w:sz w:val="18"/>
                <w:szCs w:val="21"/>
              </w:rPr>
              <w:t>anakinra</w:t>
            </w:r>
            <w:proofErr w:type="spellEnd"/>
            <w:r w:rsidRPr="00317A49">
              <w:rPr>
                <w:sz w:val="18"/>
                <w:szCs w:val="21"/>
              </w:rPr>
              <w:t xml:space="preserve"> dans une seringue vide, car l’aiguille fixée aux seringues pré-remplies est trop courte pour injecter dans un mini sac.</w:t>
            </w:r>
          </w:p>
          <w:p w:rsidR="00317A49" w:rsidRDefault="00317A49" w:rsidP="00664B42">
            <w:pPr>
              <w:pStyle w:val="Sansinterligne"/>
              <w:rPr>
                <w:sz w:val="18"/>
                <w:szCs w:val="21"/>
              </w:rPr>
            </w:pPr>
          </w:p>
          <w:p w:rsidR="00317A49" w:rsidRPr="00317A49" w:rsidRDefault="00317A49" w:rsidP="00664B42">
            <w:pPr>
              <w:pStyle w:val="Sansinterligne"/>
              <w:rPr>
                <w:b/>
                <w:sz w:val="20"/>
                <w:szCs w:val="21"/>
              </w:rPr>
            </w:pPr>
            <w:r w:rsidRPr="00317A49">
              <w:rPr>
                <w:b/>
                <w:color w:val="FF0000"/>
                <w:sz w:val="18"/>
                <w:szCs w:val="21"/>
              </w:rPr>
              <w:t xml:space="preserve">NE PAS AGITER </w:t>
            </w:r>
          </w:p>
        </w:tc>
      </w:tr>
      <w:tr w:rsidR="00505E16" w:rsidRPr="00E9602C" w:rsidTr="00317A49">
        <w:trPr>
          <w:trHeight w:val="851"/>
        </w:trPr>
        <w:tc>
          <w:tcPr>
            <w:tcW w:w="1668" w:type="dxa"/>
            <w:vMerge/>
            <w:tcBorders>
              <w:righ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Perfusion intermittente</w:t>
            </w: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201 mg et plus</w:t>
            </w:r>
          </w:p>
        </w:tc>
        <w:tc>
          <w:tcPr>
            <w:tcW w:w="2551" w:type="dxa"/>
          </w:tcPr>
          <w:p w:rsidR="00505E16" w:rsidRPr="00317A49" w:rsidRDefault="00505E16" w:rsidP="000F7419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Mini sac de 100 </w:t>
            </w:r>
            <w:proofErr w:type="spellStart"/>
            <w:r w:rsidRPr="00317A49">
              <w:rPr>
                <w:sz w:val="18"/>
                <w:szCs w:val="20"/>
              </w:rPr>
              <w:t>mL</w:t>
            </w:r>
            <w:proofErr w:type="spellEnd"/>
            <w:r w:rsidRPr="00317A49">
              <w:rPr>
                <w:sz w:val="18"/>
                <w:szCs w:val="20"/>
              </w:rPr>
              <w:t xml:space="preserve"> de NS </w:t>
            </w:r>
          </w:p>
          <w:p w:rsidR="00505E16" w:rsidRPr="00317A49" w:rsidRDefault="00505E16" w:rsidP="000F7419">
            <w:pPr>
              <w:pStyle w:val="Sansinterligne"/>
              <w:rPr>
                <w:sz w:val="18"/>
                <w:szCs w:val="20"/>
              </w:rPr>
            </w:pPr>
          </w:p>
          <w:p w:rsidR="00505E16" w:rsidRPr="00317A49" w:rsidRDefault="00505E16" w:rsidP="000F7419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Le volume de dilution doit être choisi pour assurer une concentration finale entre 1-5 mg/</w:t>
            </w:r>
            <w:proofErr w:type="spellStart"/>
            <w:r w:rsidRPr="00317A49">
              <w:rPr>
                <w:sz w:val="18"/>
                <w:szCs w:val="20"/>
              </w:rPr>
              <w:t>mL</w:t>
            </w:r>
            <w:proofErr w:type="spellEnd"/>
          </w:p>
        </w:tc>
        <w:tc>
          <w:tcPr>
            <w:tcW w:w="2126" w:type="dxa"/>
            <w:vMerge/>
            <w:tcBorders>
              <w:righ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</w:tcBorders>
          </w:tcPr>
          <w:p w:rsidR="00505E16" w:rsidRPr="00664B42" w:rsidRDefault="00505E16" w:rsidP="00664B42">
            <w:pPr>
              <w:pStyle w:val="Sansinterligne"/>
              <w:rPr>
                <w:sz w:val="20"/>
                <w:szCs w:val="21"/>
              </w:rPr>
            </w:pPr>
          </w:p>
        </w:tc>
      </w:tr>
      <w:tr w:rsidR="00505E16" w:rsidRPr="00E9602C" w:rsidTr="00317A49">
        <w:trPr>
          <w:trHeight w:val="380"/>
        </w:trPr>
        <w:tc>
          <w:tcPr>
            <w:tcW w:w="1668" w:type="dxa"/>
            <w:vMerge/>
            <w:tcBorders>
              <w:right w:val="single" w:sz="24" w:space="0" w:color="auto"/>
            </w:tcBorders>
          </w:tcPr>
          <w:p w:rsidR="00505E16" w:rsidRPr="00317A49" w:rsidRDefault="00505E16" w:rsidP="00774376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</w:tcBorders>
          </w:tcPr>
          <w:p w:rsidR="00505E16" w:rsidRPr="00317A49" w:rsidRDefault="00505E16" w:rsidP="00774376">
            <w:pPr>
              <w:keepNext/>
              <w:jc w:val="left"/>
              <w:rPr>
                <w:sz w:val="18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24" w:space="0" w:color="auto"/>
            </w:tcBorders>
          </w:tcPr>
          <w:p w:rsidR="00505E16" w:rsidRPr="00317A49" w:rsidRDefault="00505E16" w:rsidP="00774376">
            <w:pPr>
              <w:keepNext/>
              <w:jc w:val="left"/>
              <w:rPr>
                <w:sz w:val="18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24" w:space="0" w:color="auto"/>
            </w:tcBorders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Perfusion continue  </w:t>
            </w: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Fractionner la dose quotidienne en 3 prises et a</w:t>
            </w:r>
            <w:r w:rsidRPr="00317A49">
              <w:rPr>
                <w:sz w:val="18"/>
                <w:szCs w:val="20"/>
              </w:rPr>
              <w:t>rrondir la dose aux 100 mg</w:t>
            </w:r>
            <w:r w:rsidRPr="00317A49">
              <w:rPr>
                <w:sz w:val="18"/>
                <w:szCs w:val="20"/>
              </w:rPr>
              <w:t xml:space="preserve"> près, afin de préparer 3 sacs de perfusion d’une durée de 8 heures et d’éviter la perte de médicaments </w:t>
            </w:r>
          </w:p>
        </w:tc>
        <w:tc>
          <w:tcPr>
            <w:tcW w:w="2551" w:type="dxa"/>
            <w:vMerge w:val="restart"/>
          </w:tcPr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>Mini sac de NS</w:t>
            </w:r>
          </w:p>
          <w:p w:rsidR="00F92437" w:rsidRDefault="00F92437" w:rsidP="00664B42">
            <w:pPr>
              <w:pStyle w:val="Sansinterligne"/>
              <w:rPr>
                <w:sz w:val="18"/>
                <w:szCs w:val="20"/>
              </w:rPr>
            </w:pPr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Le volume de dilution doit être choisi pour assurer une concentration finale entre </w:t>
            </w:r>
            <w:r w:rsidRPr="00317A49">
              <w:rPr>
                <w:sz w:val="18"/>
                <w:szCs w:val="20"/>
              </w:rPr>
              <w:t>1-5 mg/</w:t>
            </w:r>
            <w:proofErr w:type="spellStart"/>
            <w:r w:rsidRPr="00317A49">
              <w:rPr>
                <w:sz w:val="18"/>
                <w:szCs w:val="20"/>
              </w:rPr>
              <w:t>mL</w:t>
            </w:r>
            <w:proofErr w:type="spellEnd"/>
          </w:p>
          <w:p w:rsidR="00505E16" w:rsidRPr="00317A49" w:rsidRDefault="00505E16" w:rsidP="00664B42">
            <w:pPr>
              <w:pStyle w:val="Sansinterligne"/>
              <w:rPr>
                <w:sz w:val="18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24" w:space="0" w:color="auto"/>
            </w:tcBorders>
          </w:tcPr>
          <w:p w:rsidR="00505E16" w:rsidRPr="00317A49" w:rsidRDefault="00505E16" w:rsidP="001C0D81">
            <w:pPr>
              <w:keepNext/>
              <w:jc w:val="left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S’assurer que le débit de perfusion soit supérieur </w:t>
            </w:r>
            <w:r w:rsidRPr="00317A49">
              <w:rPr>
                <w:sz w:val="18"/>
                <w:szCs w:val="20"/>
              </w:rPr>
              <w:t xml:space="preserve">ou égal </w:t>
            </w:r>
            <w:r w:rsidRPr="00317A49">
              <w:rPr>
                <w:sz w:val="18"/>
                <w:szCs w:val="20"/>
              </w:rPr>
              <w:t xml:space="preserve">à 5 </w:t>
            </w:r>
            <w:proofErr w:type="spellStart"/>
            <w:r w:rsidRPr="00317A49">
              <w:rPr>
                <w:sz w:val="18"/>
                <w:szCs w:val="20"/>
              </w:rPr>
              <w:t>mL</w:t>
            </w:r>
            <w:proofErr w:type="spellEnd"/>
            <w:r w:rsidRPr="00317A49">
              <w:rPr>
                <w:sz w:val="18"/>
                <w:szCs w:val="20"/>
              </w:rPr>
              <w:t>/h</w:t>
            </w:r>
            <w:r w:rsidRPr="00317A49">
              <w:rPr>
                <w:sz w:val="18"/>
                <w:szCs w:val="20"/>
              </w:rPr>
              <w:t xml:space="preserve"> </w:t>
            </w:r>
          </w:p>
          <w:p w:rsidR="00505E16" w:rsidRPr="00317A49" w:rsidRDefault="00505E16" w:rsidP="001C0D81">
            <w:pPr>
              <w:keepNext/>
              <w:jc w:val="left"/>
              <w:rPr>
                <w:sz w:val="18"/>
                <w:szCs w:val="20"/>
              </w:rPr>
            </w:pPr>
            <w:r w:rsidRPr="00317A49">
              <w:rPr>
                <w:sz w:val="18"/>
                <w:szCs w:val="20"/>
              </w:rPr>
              <w:t xml:space="preserve">Protéger le sac </w:t>
            </w:r>
            <w:r w:rsidRPr="00317A49">
              <w:rPr>
                <w:b/>
                <w:sz w:val="18"/>
                <w:szCs w:val="20"/>
              </w:rPr>
              <w:t>et la tubulure</w:t>
            </w:r>
            <w:r w:rsidRPr="00317A49">
              <w:rPr>
                <w:sz w:val="18"/>
                <w:szCs w:val="20"/>
              </w:rPr>
              <w:t xml:space="preserve"> de la lumière pendant toute la durée de l’administration du médicament</w:t>
            </w:r>
          </w:p>
        </w:tc>
        <w:tc>
          <w:tcPr>
            <w:tcW w:w="1728" w:type="dxa"/>
            <w:vMerge/>
            <w:tcBorders>
              <w:left w:val="single" w:sz="24" w:space="0" w:color="auto"/>
            </w:tcBorders>
            <w:vAlign w:val="center"/>
          </w:tcPr>
          <w:p w:rsidR="00505E16" w:rsidRPr="00C278A4" w:rsidRDefault="00505E16" w:rsidP="0065712B">
            <w:pPr>
              <w:jc w:val="left"/>
              <w:rPr>
                <w:sz w:val="21"/>
                <w:szCs w:val="21"/>
              </w:rPr>
            </w:pPr>
          </w:p>
        </w:tc>
      </w:tr>
      <w:tr w:rsidR="00505E16" w:rsidRPr="00E9602C" w:rsidTr="00317A49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505E16" w:rsidRPr="00D917A8" w:rsidRDefault="00505E16" w:rsidP="00774376">
            <w:pPr>
              <w:keepNext/>
              <w:spacing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D917A8">
              <w:rPr>
                <w:rFonts w:cstheme="minorHAnsi"/>
                <w:sz w:val="20"/>
                <w:szCs w:val="20"/>
              </w:rPr>
              <w:t>Conservation :</w:t>
            </w:r>
          </w:p>
          <w:p w:rsidR="00505E16" w:rsidRDefault="00505E16" w:rsidP="00675BDF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Frigo</w:t>
            </w:r>
          </w:p>
          <w:p w:rsidR="00505E16" w:rsidRPr="00C278A4" w:rsidRDefault="00505E16" w:rsidP="00675BDF">
            <w:pPr>
              <w:pStyle w:val="Sansinterligne"/>
              <w:jc w:val="left"/>
              <w:rPr>
                <w:sz w:val="21"/>
                <w:szCs w:val="21"/>
              </w:rPr>
            </w:pPr>
            <w:r w:rsidRPr="00664B42">
              <w:rPr>
                <w:sz w:val="20"/>
                <w:szCs w:val="20"/>
              </w:rPr>
              <w:t>Abri de la lumière</w:t>
            </w: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505E16" w:rsidRPr="00E9602C" w:rsidRDefault="00505E1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24" w:space="0" w:color="auto"/>
            </w:tcBorders>
          </w:tcPr>
          <w:p w:rsidR="00505E16" w:rsidRPr="00E9602C" w:rsidRDefault="00505E16" w:rsidP="00774376">
            <w:pPr>
              <w:keepNext/>
              <w:jc w:val="left"/>
            </w:pPr>
          </w:p>
        </w:tc>
        <w:tc>
          <w:tcPr>
            <w:tcW w:w="2127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505E16" w:rsidRPr="00E9602C" w:rsidRDefault="00505E16" w:rsidP="00774376">
            <w:pPr>
              <w:keepNext/>
              <w:jc w:val="left"/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505E16" w:rsidRPr="00E9602C" w:rsidRDefault="00505E16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505E16" w:rsidRPr="00E9602C" w:rsidRDefault="00505E16" w:rsidP="0065712B">
            <w:pPr>
              <w:keepNext/>
              <w:jc w:val="left"/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505E16" w:rsidRPr="00E9602C" w:rsidRDefault="00505E1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317A49" w:rsidRDefault="00A05B64" w:rsidP="0065712B">
      <w:pPr>
        <w:spacing w:before="240"/>
        <w:jc w:val="left"/>
        <w:rPr>
          <w:b/>
          <w:sz w:val="20"/>
        </w:rPr>
      </w:pPr>
      <w:r w:rsidRPr="00317A49">
        <w:rPr>
          <w:b/>
          <w:sz w:val="20"/>
        </w:rPr>
        <w:t>Stabilité</w:t>
      </w:r>
      <w:r w:rsidR="00711A64" w:rsidRPr="00317A49">
        <w:rPr>
          <w:b/>
          <w:sz w:val="20"/>
        </w:rPr>
        <w:t xml:space="preserve"> pour une préparation à l’unité de soins</w:t>
      </w:r>
      <w:r w:rsidRPr="00317A49">
        <w:rPr>
          <w:b/>
          <w:sz w:val="20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317A49" w:rsidTr="007E4696">
        <w:trPr>
          <w:trHeight w:val="397"/>
        </w:trPr>
        <w:tc>
          <w:tcPr>
            <w:tcW w:w="1526" w:type="dxa"/>
            <w:vAlign w:val="center"/>
          </w:tcPr>
          <w:p w:rsidR="00306654" w:rsidRPr="00317A49" w:rsidRDefault="00306654" w:rsidP="009854CA">
            <w:pPr>
              <w:spacing w:after="0"/>
              <w:jc w:val="left"/>
              <w:rPr>
                <w:sz w:val="20"/>
              </w:rPr>
            </w:pPr>
            <w:r w:rsidRPr="00317A49">
              <w:rPr>
                <w:sz w:val="20"/>
              </w:rPr>
              <w:t>Fiole utilisée :</w:t>
            </w:r>
          </w:p>
        </w:tc>
        <w:sdt>
          <w:sdtPr>
            <w:rPr>
              <w:sz w:val="20"/>
            </w:rPr>
            <w:id w:val="460845180"/>
            <w:placeholder>
              <w:docPart w:val="C8790A5249B4403E93B6F9521A63C88E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317A49" w:rsidRDefault="00E508C6" w:rsidP="00B6660C">
                <w:pPr>
                  <w:spacing w:after="0"/>
                  <w:jc w:val="left"/>
                  <w:rPr>
                    <w:sz w:val="20"/>
                  </w:rPr>
                </w:pPr>
                <w:r w:rsidRPr="00317A49">
                  <w:rPr>
                    <w:sz w:val="20"/>
                  </w:rPr>
                  <w:t xml:space="preserve">Seringue à usage unique.  </w:t>
                </w:r>
                <w:r w:rsidR="00B6660C" w:rsidRPr="00317A49">
                  <w:rPr>
                    <w:sz w:val="20"/>
                  </w:rPr>
                  <w:t xml:space="preserve">Jeter toute portion inutilisée </w:t>
                </w:r>
              </w:p>
            </w:tc>
          </w:sdtContent>
        </w:sdt>
      </w:tr>
      <w:tr w:rsidR="00306654" w:rsidRPr="00317A49" w:rsidTr="007E4696">
        <w:trPr>
          <w:trHeight w:val="397"/>
        </w:trPr>
        <w:tc>
          <w:tcPr>
            <w:tcW w:w="1526" w:type="dxa"/>
            <w:vAlign w:val="center"/>
          </w:tcPr>
          <w:p w:rsidR="00306654" w:rsidRPr="00317A49" w:rsidRDefault="00F640A5" w:rsidP="0030659A">
            <w:pPr>
              <w:spacing w:after="0"/>
              <w:ind w:right="-533"/>
              <w:jc w:val="left"/>
              <w:rPr>
                <w:sz w:val="18"/>
                <w:szCs w:val="18"/>
              </w:rPr>
            </w:pPr>
            <w:r w:rsidRPr="00317A49">
              <w:rPr>
                <w:sz w:val="18"/>
                <w:szCs w:val="18"/>
              </w:rPr>
              <w:t>Seringue ou s</w:t>
            </w:r>
            <w:r w:rsidR="00494B0D" w:rsidRPr="00317A49">
              <w:rPr>
                <w:sz w:val="18"/>
                <w:szCs w:val="18"/>
              </w:rPr>
              <w:t>ac </w:t>
            </w:r>
            <w:r w:rsidR="00306654" w:rsidRPr="00317A49">
              <w:rPr>
                <w:sz w:val="18"/>
                <w:szCs w:val="18"/>
              </w:rPr>
              <w:t xml:space="preserve">: </w:t>
            </w:r>
          </w:p>
        </w:tc>
        <w:sdt>
          <w:sdtPr>
            <w:rPr>
              <w:sz w:val="18"/>
              <w:szCs w:val="18"/>
            </w:rPr>
            <w:id w:val="1960842908"/>
            <w:lock w:val="sdtLocked"/>
            <w:placeholder>
              <w:docPart w:val="9E91852B543548E2843E3E8D2A4483CB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317A49" w:rsidRDefault="00B6660C" w:rsidP="00B6660C">
                <w:pPr>
                  <w:spacing w:after="0"/>
                  <w:jc w:val="left"/>
                  <w:rPr>
                    <w:sz w:val="18"/>
                    <w:szCs w:val="18"/>
                  </w:rPr>
                </w:pPr>
                <w:r w:rsidRPr="00317A49">
                  <w:rPr>
                    <w:sz w:val="18"/>
                    <w:szCs w:val="18"/>
                  </w:rPr>
                  <w:t>S</w:t>
                </w:r>
                <w:r w:rsidR="004A0BC2">
                  <w:rPr>
                    <w:sz w:val="18"/>
                    <w:szCs w:val="18"/>
                  </w:rPr>
                  <w:t>table</w:t>
                </w:r>
                <w:r w:rsidRPr="00317A49">
                  <w:rPr>
                    <w:sz w:val="18"/>
                    <w:szCs w:val="18"/>
                  </w:rPr>
                  <w:t xml:space="preserve"> 8 heures</w:t>
                </w:r>
                <w:r w:rsidR="004A0BC2">
                  <w:rPr>
                    <w:sz w:val="18"/>
                    <w:szCs w:val="18"/>
                  </w:rPr>
                  <w:t xml:space="preserve"> à température ambiante et à l’abri de la lumière.  L’administration doit débuter dès la préparation.</w:t>
                </w:r>
              </w:p>
            </w:tc>
          </w:sdtContent>
        </w:sdt>
      </w:tr>
    </w:tbl>
    <w:p w:rsidR="00C65E2C" w:rsidRPr="00317A49" w:rsidRDefault="00A05B64" w:rsidP="00E87A96">
      <w:pPr>
        <w:spacing w:before="240"/>
        <w:jc w:val="left"/>
        <w:rPr>
          <w:rFonts w:cstheme="minorHAnsi"/>
          <w:sz w:val="18"/>
          <w:szCs w:val="18"/>
        </w:rPr>
      </w:pPr>
      <w:r w:rsidRPr="00317A49">
        <w:rPr>
          <w:rFonts w:cstheme="minorHAnsi"/>
          <w:b/>
          <w:sz w:val="18"/>
          <w:szCs w:val="18"/>
        </w:rPr>
        <w:t>Compatibilité avec les solutés :</w:t>
      </w:r>
      <w:r w:rsidRPr="00317A49">
        <w:rPr>
          <w:rFonts w:cstheme="minorHAnsi"/>
          <w:sz w:val="18"/>
          <w:szCs w:val="18"/>
        </w:rPr>
        <w:t xml:space="preserve"> </w:t>
      </w:r>
      <w:bookmarkStart w:id="0" w:name="_Toc424288453"/>
      <w:sdt>
        <w:sdtPr>
          <w:rPr>
            <w:rFonts w:cstheme="minorHAnsi"/>
            <w:sz w:val="18"/>
            <w:szCs w:val="18"/>
          </w:rPr>
          <w:id w:val="-1968195364"/>
          <w:lock w:val="sdtLocked"/>
          <w:placeholder>
            <w:docPart w:val="047F447CC416449AA891E1C87023C491"/>
          </w:placeholder>
        </w:sdtPr>
        <w:sdtEndPr/>
        <w:sdtContent>
          <w:r w:rsidR="00317A49">
            <w:rPr>
              <w:rFonts w:cstheme="minorHAnsi"/>
              <w:sz w:val="18"/>
              <w:szCs w:val="18"/>
            </w:rPr>
            <w:t>NS</w:t>
          </w:r>
        </w:sdtContent>
      </w:sdt>
    </w:p>
    <w:p w:rsidR="00DE1B28" w:rsidRPr="00317A49" w:rsidRDefault="00C278A4" w:rsidP="00F36FC5">
      <w:pPr>
        <w:spacing w:before="240"/>
        <w:jc w:val="left"/>
        <w:rPr>
          <w:rFonts w:cstheme="minorHAnsi"/>
          <w:sz w:val="18"/>
          <w:szCs w:val="18"/>
        </w:rPr>
      </w:pPr>
      <w:r w:rsidRPr="00317A49">
        <w:rPr>
          <w:rFonts w:cstheme="minorHAnsi"/>
          <w:b/>
          <w:sz w:val="18"/>
          <w:szCs w:val="18"/>
        </w:rPr>
        <w:lastRenderedPageBreak/>
        <w:t>Incompatibilité</w:t>
      </w:r>
      <w:r w:rsidR="00945D21" w:rsidRPr="00317A49">
        <w:rPr>
          <w:rFonts w:cstheme="minorHAnsi"/>
          <w:b/>
          <w:sz w:val="18"/>
          <w:szCs w:val="18"/>
        </w:rPr>
        <w:t xml:space="preserve"> : </w:t>
      </w:r>
      <w:sdt>
        <w:sdtPr>
          <w:rPr>
            <w:rFonts w:cstheme="minorHAnsi"/>
            <w:sz w:val="18"/>
            <w:szCs w:val="18"/>
          </w:rPr>
          <w:id w:val="189185613"/>
          <w:lock w:val="sdtLocked"/>
          <w:placeholder>
            <w:docPart w:val="754E35D25BB244F2940EA030E0E3BA33"/>
          </w:placeholder>
        </w:sdtPr>
        <w:sdtEndPr/>
        <w:sdtContent>
          <w:r w:rsidR="00F640A5" w:rsidRPr="00317A49">
            <w:rPr>
              <w:rFonts w:cstheme="minorHAnsi"/>
              <w:sz w:val="18"/>
              <w:szCs w:val="18"/>
            </w:rPr>
            <w:t>Se référer au tableau des compatibilités</w:t>
          </w:r>
        </w:sdtContent>
      </w:sdt>
    </w:p>
    <w:p w:rsidR="00675BDF" w:rsidRDefault="00675BDF" w:rsidP="00675BDF">
      <w:pPr>
        <w:spacing w:after="0"/>
        <w:jc w:val="left"/>
        <w:rPr>
          <w:b/>
          <w:color w:val="00B050"/>
          <w:sz w:val="32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317A49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9854CA" w:rsidRPr="00E9602C">
              <w:rPr>
                <w:b/>
              </w:rPr>
              <w:t>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774376" w:rsidRPr="004A0BC2" w:rsidRDefault="00B6660C" w:rsidP="00664B42">
            <w:pPr>
              <w:pStyle w:val="Sansinterligne"/>
              <w:rPr>
                <w:b/>
                <w:u w:val="single"/>
              </w:rPr>
            </w:pPr>
            <w:r w:rsidRPr="004A0BC2">
              <w:rPr>
                <w:b/>
                <w:u w:val="single"/>
              </w:rPr>
              <w:t>Monitorage :</w:t>
            </w:r>
          </w:p>
          <w:p w:rsidR="00B6660C" w:rsidRDefault="00B6660C" w:rsidP="00664B42">
            <w:pPr>
              <w:pStyle w:val="Sansinterligne"/>
            </w:pPr>
            <w:r>
              <w:t>FSC</w:t>
            </w:r>
          </w:p>
          <w:p w:rsidR="00B6660C" w:rsidRDefault="00B6660C" w:rsidP="00664B42">
            <w:pPr>
              <w:pStyle w:val="Sansinterligne"/>
            </w:pPr>
            <w:r>
              <w:t>Fonction rénale</w:t>
            </w:r>
          </w:p>
          <w:p w:rsidR="00B6660C" w:rsidRDefault="00B6660C" w:rsidP="00B6660C">
            <w:pPr>
              <w:pStyle w:val="Sansinterligne"/>
              <w:ind w:left="284"/>
            </w:pPr>
            <w:r>
              <w:t>Cr</w:t>
            </w:r>
          </w:p>
          <w:p w:rsidR="004A0BC2" w:rsidRDefault="004A0BC2" w:rsidP="00664B42">
            <w:pPr>
              <w:pStyle w:val="Sansinterligne"/>
            </w:pPr>
            <w:r>
              <w:t xml:space="preserve">Signes d’infection </w:t>
            </w:r>
          </w:p>
          <w:p w:rsidR="00B6660C" w:rsidRDefault="00B6660C" w:rsidP="00664B42">
            <w:pPr>
              <w:pStyle w:val="Sansinterligne"/>
            </w:pPr>
            <w:r>
              <w:t xml:space="preserve">Site d’injection </w:t>
            </w:r>
          </w:p>
          <w:p w:rsidR="004A0BC2" w:rsidRDefault="004A0BC2" w:rsidP="004A0BC2">
            <w:pPr>
              <w:pStyle w:val="Sansinterligne"/>
            </w:pPr>
            <w:r>
              <w:t>Signes d’hypersensibilité</w:t>
            </w:r>
          </w:p>
          <w:p w:rsidR="00856EB1" w:rsidRDefault="00856EB1" w:rsidP="00664B42">
            <w:pPr>
              <w:pStyle w:val="Sansinterligne"/>
            </w:pPr>
          </w:p>
          <w:p w:rsidR="00856EB1" w:rsidRPr="004A0BC2" w:rsidRDefault="00856EB1" w:rsidP="00664B42">
            <w:pPr>
              <w:pStyle w:val="Sansinterligne"/>
              <w:rPr>
                <w:b/>
                <w:u w:val="single"/>
              </w:rPr>
            </w:pPr>
            <w:r w:rsidRPr="004A0BC2">
              <w:rPr>
                <w:b/>
                <w:u w:val="single"/>
              </w:rPr>
              <w:t>Précautions :</w:t>
            </w:r>
          </w:p>
          <w:p w:rsidR="00ED0C87" w:rsidRPr="00ED0C87" w:rsidRDefault="00ED0C87" w:rsidP="00664B42">
            <w:pPr>
              <w:pStyle w:val="Sansinterligne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Contre-indiqué si hypersensibilité connue aux protéines dérivées de </w:t>
            </w:r>
            <w:r w:rsidRPr="00ED0C87">
              <w:rPr>
                <w:rFonts w:cstheme="minorHAnsi"/>
                <w:i/>
              </w:rPr>
              <w:t>E. Coli</w:t>
            </w:r>
          </w:p>
          <w:p w:rsidR="00856EB1" w:rsidRDefault="00505E16" w:rsidP="00664B42">
            <w:pPr>
              <w:pStyle w:val="Sansinterligne"/>
              <w:rPr>
                <w:rFonts w:cstheme="minorHAnsi"/>
              </w:rPr>
            </w:pPr>
            <w:r w:rsidRPr="004A0BC2">
              <w:rPr>
                <w:rFonts w:cstheme="minorHAnsi"/>
              </w:rPr>
              <w:t>Ne pas administrer le traitement pendant une infection active</w:t>
            </w:r>
          </w:p>
          <w:p w:rsidR="00F92437" w:rsidRPr="004A0BC2" w:rsidRDefault="00F92437" w:rsidP="00664B42">
            <w:pPr>
              <w:pStyle w:val="Sansinterligne"/>
              <w:rPr>
                <w:rFonts w:cstheme="minorHAnsi"/>
              </w:rPr>
            </w:pPr>
            <w:r>
              <w:rPr>
                <w:rFonts w:cstheme="minorHAnsi"/>
              </w:rPr>
              <w:t>Ne pas administrer de vaccins vivants durant le traitement</w:t>
            </w:r>
          </w:p>
          <w:p w:rsidR="00317A49" w:rsidRPr="004A0BC2" w:rsidRDefault="00317A49" w:rsidP="00317A4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</w:rPr>
            </w:pPr>
            <w:r w:rsidRPr="004A0BC2">
              <w:rPr>
                <w:rFonts w:cstheme="minorHAnsi"/>
              </w:rPr>
              <w:t>Évaluer le risque et dépister la tuberculose avant l’administration au</w:t>
            </w:r>
          </w:p>
          <w:p w:rsidR="00317A49" w:rsidRPr="004A0BC2" w:rsidRDefault="00317A49" w:rsidP="00317A4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</w:rPr>
            </w:pPr>
            <w:r w:rsidRPr="004A0BC2">
              <w:rPr>
                <w:rFonts w:cstheme="minorHAnsi"/>
              </w:rPr>
              <w:t>besoin</w:t>
            </w:r>
          </w:p>
          <w:p w:rsidR="00505E16" w:rsidRPr="004A0BC2" w:rsidRDefault="00505E16" w:rsidP="004A0BC2">
            <w:pPr>
              <w:pStyle w:val="Sansinterligne"/>
              <w:ind w:left="284"/>
              <w:rPr>
                <w:rFonts w:cstheme="minorHAnsi"/>
              </w:rPr>
            </w:pPr>
            <w:r w:rsidRPr="004A0BC2">
              <w:rPr>
                <w:rFonts w:cstheme="minorHAnsi"/>
              </w:rPr>
              <w:t>Ne pas retarder le traitement si urgence médicale</w:t>
            </w:r>
          </w:p>
          <w:p w:rsidR="00B6660C" w:rsidRPr="00664B42" w:rsidRDefault="00B6660C" w:rsidP="00664B42">
            <w:pPr>
              <w:pStyle w:val="Sansinterligne"/>
            </w:pPr>
          </w:p>
        </w:tc>
        <w:tc>
          <w:tcPr>
            <w:tcW w:w="6550" w:type="dxa"/>
          </w:tcPr>
          <w:p w:rsidR="00363019" w:rsidRPr="004A0BC2" w:rsidRDefault="00505E16" w:rsidP="00664B42">
            <w:pPr>
              <w:pStyle w:val="Sansinterligne"/>
            </w:pPr>
            <w:r w:rsidRPr="004A0BC2">
              <w:t>Infections des voies respiratoires</w:t>
            </w:r>
          </w:p>
          <w:p w:rsidR="00505E16" w:rsidRPr="004A0BC2" w:rsidRDefault="00505E16" w:rsidP="004A0BC2">
            <w:pPr>
              <w:pStyle w:val="Sansinterligne"/>
              <w:ind w:left="284"/>
            </w:pPr>
            <w:r w:rsidRPr="004A0BC2">
              <w:t>Tuberculose, infections virales, bactériennes et opportunistes</w:t>
            </w:r>
          </w:p>
          <w:p w:rsidR="00505E16" w:rsidRPr="004A0BC2" w:rsidRDefault="00505E16" w:rsidP="00664B42">
            <w:pPr>
              <w:pStyle w:val="Sansinterligne"/>
            </w:pPr>
            <w:r w:rsidRPr="004A0BC2">
              <w:t>Réaction locale au site d’injection</w:t>
            </w:r>
          </w:p>
          <w:p w:rsidR="00505E16" w:rsidRPr="004A0BC2" w:rsidRDefault="00505E16" w:rsidP="004A0BC2">
            <w:pPr>
              <w:pStyle w:val="Sansinterligne"/>
              <w:ind w:left="284"/>
            </w:pPr>
            <w:r w:rsidRPr="004A0BC2">
              <w:t>Prurit, œdème, éruption cutanée, douleur</w:t>
            </w:r>
          </w:p>
          <w:p w:rsidR="00505E16" w:rsidRPr="004A0BC2" w:rsidRDefault="00505E16" w:rsidP="00664B42">
            <w:pPr>
              <w:pStyle w:val="Sansinterligne"/>
            </w:pPr>
            <w:r w:rsidRPr="004A0BC2">
              <w:t>Syndrome pseudo grippal</w:t>
            </w:r>
          </w:p>
          <w:p w:rsidR="00505E16" w:rsidRPr="004A0BC2" w:rsidRDefault="00505E16" w:rsidP="00664B42">
            <w:pPr>
              <w:pStyle w:val="Sansinterligne"/>
            </w:pPr>
            <w:r w:rsidRPr="004A0BC2">
              <w:t>Diarrhées, nausées, vomissements</w:t>
            </w:r>
          </w:p>
          <w:p w:rsidR="00505E16" w:rsidRPr="004A0BC2" w:rsidRDefault="00505E16" w:rsidP="00664B42">
            <w:pPr>
              <w:pStyle w:val="Sansinterligne"/>
            </w:pPr>
            <w:r w:rsidRPr="004A0BC2">
              <w:t>Augmentation temporaire des enzymes hépatiques</w:t>
            </w:r>
          </w:p>
          <w:p w:rsidR="00505E16" w:rsidRPr="004A0BC2" w:rsidRDefault="00505E16" w:rsidP="004A0BC2">
            <w:pPr>
              <w:pStyle w:val="Sansinterligne"/>
              <w:ind w:left="284"/>
            </w:pPr>
            <w:r w:rsidRPr="004A0BC2">
              <w:t>ALT, AST, GGT</w:t>
            </w:r>
          </w:p>
          <w:p w:rsidR="00505E16" w:rsidRPr="004A0BC2" w:rsidRDefault="00505E16" w:rsidP="00664B42">
            <w:pPr>
              <w:pStyle w:val="Sansinterligne"/>
            </w:pPr>
            <w:r w:rsidRPr="004A0BC2">
              <w:t>Neutropénie, thrombocytopénie</w:t>
            </w:r>
          </w:p>
          <w:p w:rsidR="00505E16" w:rsidRPr="004A0BC2" w:rsidRDefault="00505E16" w:rsidP="00664B42">
            <w:pPr>
              <w:pStyle w:val="Sansinterligne"/>
            </w:pPr>
            <w:r w:rsidRPr="004A0BC2">
              <w:t>Réaction hypersensibilité, anaphylaxie</w:t>
            </w:r>
            <w:bookmarkStart w:id="1" w:name="_GoBack"/>
            <w:bookmarkEnd w:id="1"/>
          </w:p>
          <w:p w:rsidR="00505E16" w:rsidRPr="00664B42" w:rsidRDefault="00505E16" w:rsidP="00664B42">
            <w:pPr>
              <w:pStyle w:val="Sansinterligne"/>
            </w:pPr>
          </w:p>
        </w:tc>
      </w:tr>
    </w:tbl>
    <w:p w:rsidR="00D1037D" w:rsidRDefault="00D1037D" w:rsidP="009854CA">
      <w:pPr>
        <w:spacing w:before="120"/>
        <w:rPr>
          <w:rFonts w:cstheme="minorHAnsi"/>
        </w:rPr>
      </w:pPr>
    </w:p>
    <w:p w:rsidR="00875AFE" w:rsidRDefault="00875AFE" w:rsidP="009854CA">
      <w:pPr>
        <w:spacing w:before="120"/>
        <w:rPr>
          <w:rFonts w:cstheme="minorHAnsi"/>
        </w:rPr>
      </w:pPr>
    </w:p>
    <w:p w:rsidR="00875AFE" w:rsidRDefault="00875AFE" w:rsidP="00875AFE">
      <w:pPr>
        <w:rPr>
          <w:rFonts w:cstheme="minorHAnsi"/>
        </w:rPr>
      </w:pPr>
    </w:p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D1CD5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0F" w:rsidRDefault="00411A0F" w:rsidP="008F3D94">
      <w:pPr>
        <w:spacing w:after="0" w:line="240" w:lineRule="auto"/>
      </w:pPr>
      <w:r>
        <w:separator/>
      </w:r>
    </w:p>
  </w:endnote>
  <w:endnote w:type="continuationSeparator" w:id="0">
    <w:p w:rsidR="00411A0F" w:rsidRDefault="00411A0F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proofErr w:type="spellStart"/>
    <w:r w:rsidRPr="00174E60">
      <w:rPr>
        <w:color w:val="595959" w:themeColor="text1" w:themeTint="A6"/>
      </w:rPr>
      <w:t>Rév</w:t>
    </w:r>
    <w:proofErr w:type="spellEnd"/>
    <w:r w:rsidRPr="00174E60">
      <w:rPr>
        <w:color w:val="595959" w:themeColor="text1" w:themeTint="A6"/>
      </w:rPr>
      <w:t xml:space="preserve">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A16EAE">
      <w:rPr>
        <w:b/>
        <w:noProof/>
      </w:rPr>
      <w:t>2025-10-23 10:41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ED0C87">
      <w:rPr>
        <w:b/>
        <w:noProof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ED0C87">
      <w:rPr>
        <w:b/>
        <w:noProof/>
      </w:rPr>
      <w:t>3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0F" w:rsidRDefault="00411A0F" w:rsidP="008F3D94">
      <w:pPr>
        <w:spacing w:after="0" w:line="240" w:lineRule="auto"/>
      </w:pPr>
      <w:r>
        <w:separator/>
      </w:r>
    </w:p>
  </w:footnote>
  <w:footnote w:type="continuationSeparator" w:id="0">
    <w:p w:rsidR="00411A0F" w:rsidRDefault="00411A0F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ED0C8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7196" w:type="dxa"/>
      <w:tblLook w:val="04A0" w:firstRow="1" w:lastRow="0" w:firstColumn="1" w:lastColumn="0" w:noHBand="0" w:noVBand="1"/>
    </w:tblPr>
    <w:tblGrid>
      <w:gridCol w:w="5980"/>
    </w:tblGrid>
    <w:tr w:rsidR="00664B42" w:rsidRPr="00A426B2" w:rsidTr="00875AFE">
      <w:tc>
        <w:tcPr>
          <w:tcW w:w="5980" w:type="dxa"/>
        </w:tcPr>
        <w:p w:rsidR="00664B42" w:rsidRDefault="00F640A5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666E62B0" wp14:editId="33CCD820">
                <wp:simplePos x="0" y="0"/>
                <wp:positionH relativeFrom="column">
                  <wp:posOffset>-255905</wp:posOffset>
                </wp:positionH>
                <wp:positionV relativeFrom="paragraph">
                  <wp:posOffset>-132080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E55CA"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48C0377" wp14:editId="1A6DBCC8">
                    <wp:simplePos x="0" y="0"/>
                    <wp:positionH relativeFrom="column">
                      <wp:posOffset>-4921308</wp:posOffset>
                    </wp:positionH>
                    <wp:positionV relativeFrom="paragraph">
                      <wp:posOffset>-58420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387.5pt;margin-top:-4.6pt;width:127.45pt;height:4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" filled="f" stroked="f">
                    <v:textbox>
                      <w:txbxContent>
                        <w:p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64B42" w:rsidRPr="00ED0C87" w:rsidRDefault="00A16EAE" w:rsidP="00A16EAE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caps/>
              <w:sz w:val="20"/>
            </w:rPr>
          </w:pPr>
          <w:r w:rsidRPr="00ED0C87">
            <w:rPr>
              <w:rFonts w:ascii="Arial Narrow" w:hAnsi="Arial Narrow"/>
              <w:caps/>
              <w:sz w:val="20"/>
            </w:rPr>
            <w:t>Médicament hors formulaire </w:t>
          </w:r>
          <w:r w:rsidR="00D43958" w:rsidRPr="00ED0C87">
            <w:rPr>
              <w:rFonts w:ascii="Arial Narrow" w:hAnsi="Arial Narrow"/>
              <w:caps/>
              <w:sz w:val="20"/>
            </w:rPr>
            <w:t>: COMPLÉTER</w:t>
          </w:r>
          <w:r w:rsidRPr="00ED0C87">
            <w:rPr>
              <w:rFonts w:ascii="Arial Narrow" w:hAnsi="Arial Narrow"/>
              <w:caps/>
              <w:sz w:val="20"/>
            </w:rPr>
            <w:t xml:space="preserve"> le formulaire de nécessité médicale particulière </w:t>
          </w:r>
        </w:p>
        <w:p w:rsidR="00ED0C87" w:rsidRPr="00ED0C87" w:rsidRDefault="00ED0C87" w:rsidP="00ED0C87">
          <w:pPr>
            <w:spacing w:before="0" w:after="200" w:line="276" w:lineRule="auto"/>
            <w:ind w:left="284"/>
            <w:contextualSpacing/>
            <w:jc w:val="left"/>
            <w:rPr>
              <w:smallCaps/>
              <w:sz w:val="20"/>
            </w:rPr>
          </w:pPr>
          <w:r w:rsidRPr="00ED0C87">
            <w:rPr>
              <w:rFonts w:ascii="Arial Narrow" w:hAnsi="Arial Narrow"/>
              <w:smallCaps/>
              <w:sz w:val="20"/>
            </w:rPr>
            <w:t>MÉDICAMENTS POUR LE TRAITEMENT DE CHOC ANAPHYLACTIQUE DISPONIBLES</w:t>
          </w:r>
          <w:r w:rsidRPr="00ED0C87">
            <w:rPr>
              <w:rFonts w:ascii="Arial Narrow" w:hAnsi="Arial Narrow"/>
              <w:b/>
              <w:smallCaps/>
              <w:sz w:val="20"/>
            </w:rPr>
            <w:t xml:space="preserve"> </w:t>
          </w:r>
        </w:p>
      </w:tc>
    </w:tr>
  </w:tbl>
  <w:p w:rsidR="00664B42" w:rsidRPr="00D43958" w:rsidRDefault="00664B42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875AFE" w:rsidTr="00501D76">
      <w:trPr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</w:sdtPr>
        <w:sdtEndPr>
          <w:rPr>
            <w:rStyle w:val="Style7"/>
          </w:rPr>
        </w:sdtEndPr>
        <w:sdtContent>
          <w:tc>
            <w:tcPr>
              <w:tcW w:w="9347" w:type="dxa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:rsidR="00875AFE" w:rsidRPr="00875AFE" w:rsidRDefault="00A16EAE" w:rsidP="00A16EAE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proofErr w:type="spellStart"/>
              <w:r>
                <w:rPr>
                  <w:rStyle w:val="Style7"/>
                </w:rPr>
                <w:t>Anakinra</w:t>
              </w:r>
              <w:proofErr w:type="spellEnd"/>
              <w:r>
                <w:rPr>
                  <w:rStyle w:val="Style7"/>
                </w:rPr>
                <w:t xml:space="preserve"> (</w:t>
              </w:r>
              <w:proofErr w:type="spellStart"/>
              <w:r>
                <w:rPr>
                  <w:rStyle w:val="Style7"/>
                </w:rPr>
                <w:t>Kineret</w:t>
              </w:r>
              <w:r>
                <w:rPr>
                  <w:rStyle w:val="Style7"/>
                  <w:vertAlign w:val="superscript"/>
                </w:rPr>
                <w:t>md</w:t>
              </w:r>
              <w:proofErr w:type="spellEnd"/>
              <w:r>
                <w:rPr>
                  <w:rStyle w:val="Style7"/>
                </w:rPr>
                <w:t>)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701F50" w:rsidRDefault="00411A0F" w:rsidP="00501D76">
          <w:pPr>
            <w:spacing w:after="0"/>
            <w:jc w:val="left"/>
            <w:rPr>
              <w:b/>
              <w:sz w:val="24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8720" behindDoc="0" locked="1" layoutInCell="1" allowOverlap="1" wp14:anchorId="7EF0023E" wp14:editId="58931090">
                <wp:simplePos x="0" y="0"/>
                <wp:positionH relativeFrom="column">
                  <wp:posOffset>1954530</wp:posOffset>
                </wp:positionH>
                <wp:positionV relativeFrom="paragraph">
                  <wp:posOffset>-438785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6"/>
      <w:gridCol w:w="4961"/>
      <w:gridCol w:w="284"/>
      <w:gridCol w:w="2268"/>
      <w:gridCol w:w="4061"/>
    </w:tblGrid>
    <w:tr w:rsidR="00891BD4" w:rsidRPr="00317A49" w:rsidTr="00317A49">
      <w:trPr>
        <w:trHeight w:val="454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91BD4" w:rsidRPr="00317A49" w:rsidRDefault="00891BD4" w:rsidP="00E474FF">
          <w:pPr>
            <w:spacing w:before="120" w:after="0"/>
            <w:jc w:val="left"/>
            <w:rPr>
              <w:color w:val="00B050"/>
              <w:sz w:val="20"/>
            </w:rPr>
          </w:pPr>
          <w:r w:rsidRPr="00317A49">
            <w:rPr>
              <w:b/>
              <w:sz w:val="20"/>
            </w:rPr>
            <w:t>INDICATION</w:t>
          </w:r>
          <w:r w:rsidRPr="00317A49">
            <w:rPr>
              <w:sz w:val="20"/>
            </w:rPr>
            <w:t> :</w:t>
          </w:r>
        </w:p>
      </w:tc>
      <w:tc>
        <w:tcPr>
          <w:tcW w:w="496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16EAE" w:rsidRPr="00317A49" w:rsidRDefault="00891BD4" w:rsidP="00317A49">
          <w:pPr>
            <w:spacing w:before="120" w:after="0"/>
            <w:jc w:val="left"/>
            <w:rPr>
              <w:sz w:val="20"/>
            </w:rPr>
          </w:pPr>
          <w:r w:rsidRPr="00317A49">
            <w:rPr>
              <w:sz w:val="20"/>
            </w:rPr>
            <w:t xml:space="preserve"> </w:t>
          </w:r>
          <w:r w:rsidR="00D43958" w:rsidRPr="00317A49">
            <w:rPr>
              <w:sz w:val="20"/>
            </w:rPr>
            <w:t>Syndrome libération cytokines, ICANS</w:t>
          </w:r>
          <w:r w:rsidR="00317A49">
            <w:rPr>
              <w:sz w:val="20"/>
            </w:rPr>
            <w:t>,</w:t>
          </w:r>
          <w:r w:rsidR="00D43958" w:rsidRPr="00317A49">
            <w:rPr>
              <w:sz w:val="20"/>
            </w:rPr>
            <w:t xml:space="preserve"> Choc </w:t>
          </w:r>
          <w:proofErr w:type="spellStart"/>
          <w:r w:rsidR="00D43958" w:rsidRPr="00317A49">
            <w:rPr>
              <w:sz w:val="20"/>
            </w:rPr>
            <w:t>cytokinique</w:t>
          </w:r>
          <w:proofErr w:type="spellEnd"/>
          <w:r w:rsidR="00D43958" w:rsidRPr="00317A49">
            <w:rPr>
              <w:sz w:val="20"/>
            </w:rPr>
            <w:t xml:space="preserve"> 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317A49" w:rsidRDefault="00891BD4" w:rsidP="00E474FF">
          <w:pPr>
            <w:spacing w:before="120" w:after="0"/>
            <w:jc w:val="left"/>
            <w:rPr>
              <w:b/>
              <w:sz w:val="20"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317A49" w:rsidRDefault="00891BD4" w:rsidP="00E474FF">
          <w:pPr>
            <w:spacing w:before="120" w:after="0"/>
            <w:jc w:val="left"/>
            <w:rPr>
              <w:b/>
              <w:color w:val="00B050"/>
              <w:sz w:val="20"/>
            </w:rPr>
          </w:pPr>
          <w:r w:rsidRPr="00317A49">
            <w:rPr>
              <w:b/>
              <w:sz w:val="20"/>
            </w:rPr>
            <w:t>Classe thérapeutique</w:t>
          </w:r>
          <w:r w:rsidRPr="00317A49">
            <w:rPr>
              <w:sz w:val="20"/>
            </w:rPr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16EAE" w:rsidRPr="00317A49" w:rsidRDefault="00A16EAE" w:rsidP="00E474FF">
          <w:pPr>
            <w:spacing w:before="120" w:after="0"/>
            <w:jc w:val="left"/>
            <w:rPr>
              <w:sz w:val="20"/>
            </w:rPr>
          </w:pPr>
          <w:r w:rsidRPr="00317A49">
            <w:rPr>
              <w:sz w:val="20"/>
            </w:rPr>
            <w:t>Antagoniste</w:t>
          </w:r>
          <w:r w:rsidR="00856EB1" w:rsidRPr="00317A49">
            <w:rPr>
              <w:sz w:val="20"/>
            </w:rPr>
            <w:t xml:space="preserve"> du récepteur</w:t>
          </w:r>
          <w:r w:rsidRPr="00317A49">
            <w:rPr>
              <w:sz w:val="20"/>
            </w:rPr>
            <w:t xml:space="preserve"> IL-1</w:t>
          </w:r>
        </w:p>
      </w:tc>
    </w:tr>
  </w:tbl>
  <w:p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ED0C8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800678F"/>
    <w:multiLevelType w:val="hybridMultilevel"/>
    <w:tmpl w:val="98E65B6E"/>
    <w:lvl w:ilvl="0" w:tplc="F32C926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C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43"/>
  </w:num>
  <w:num w:numId="3">
    <w:abstractNumId w:val="79"/>
  </w:num>
  <w:num w:numId="4">
    <w:abstractNumId w:val="70"/>
  </w:num>
  <w:num w:numId="5">
    <w:abstractNumId w:val="22"/>
  </w:num>
  <w:num w:numId="6">
    <w:abstractNumId w:val="65"/>
  </w:num>
  <w:num w:numId="7">
    <w:abstractNumId w:val="59"/>
  </w:num>
  <w:num w:numId="8">
    <w:abstractNumId w:val="82"/>
  </w:num>
  <w:num w:numId="9">
    <w:abstractNumId w:val="73"/>
  </w:num>
  <w:num w:numId="10">
    <w:abstractNumId w:val="24"/>
  </w:num>
  <w:num w:numId="11">
    <w:abstractNumId w:val="2"/>
  </w:num>
  <w:num w:numId="12">
    <w:abstractNumId w:val="34"/>
  </w:num>
  <w:num w:numId="13">
    <w:abstractNumId w:val="71"/>
  </w:num>
  <w:num w:numId="14">
    <w:abstractNumId w:val="55"/>
  </w:num>
  <w:num w:numId="15">
    <w:abstractNumId w:val="46"/>
  </w:num>
  <w:num w:numId="16">
    <w:abstractNumId w:val="10"/>
  </w:num>
  <w:num w:numId="17">
    <w:abstractNumId w:val="67"/>
  </w:num>
  <w:num w:numId="18">
    <w:abstractNumId w:val="44"/>
  </w:num>
  <w:num w:numId="19">
    <w:abstractNumId w:val="18"/>
  </w:num>
  <w:num w:numId="20">
    <w:abstractNumId w:val="32"/>
  </w:num>
  <w:num w:numId="21">
    <w:abstractNumId w:val="16"/>
  </w:num>
  <w:num w:numId="22">
    <w:abstractNumId w:val="26"/>
  </w:num>
  <w:num w:numId="23">
    <w:abstractNumId w:val="42"/>
  </w:num>
  <w:num w:numId="24">
    <w:abstractNumId w:val="49"/>
  </w:num>
  <w:num w:numId="25">
    <w:abstractNumId w:val="29"/>
  </w:num>
  <w:num w:numId="26">
    <w:abstractNumId w:val="75"/>
  </w:num>
  <w:num w:numId="27">
    <w:abstractNumId w:val="41"/>
  </w:num>
  <w:num w:numId="28">
    <w:abstractNumId w:val="30"/>
  </w:num>
  <w:num w:numId="29">
    <w:abstractNumId w:val="12"/>
  </w:num>
  <w:num w:numId="30">
    <w:abstractNumId w:val="47"/>
  </w:num>
  <w:num w:numId="31">
    <w:abstractNumId w:val="66"/>
  </w:num>
  <w:num w:numId="32">
    <w:abstractNumId w:val="31"/>
  </w:num>
  <w:num w:numId="33">
    <w:abstractNumId w:val="54"/>
  </w:num>
  <w:num w:numId="34">
    <w:abstractNumId w:val="1"/>
  </w:num>
  <w:num w:numId="35">
    <w:abstractNumId w:val="28"/>
  </w:num>
  <w:num w:numId="36">
    <w:abstractNumId w:val="69"/>
  </w:num>
  <w:num w:numId="37">
    <w:abstractNumId w:val="80"/>
  </w:num>
  <w:num w:numId="38">
    <w:abstractNumId w:val="72"/>
  </w:num>
  <w:num w:numId="39">
    <w:abstractNumId w:val="0"/>
  </w:num>
  <w:num w:numId="40">
    <w:abstractNumId w:val="33"/>
  </w:num>
  <w:num w:numId="41">
    <w:abstractNumId w:val="36"/>
  </w:num>
  <w:num w:numId="42">
    <w:abstractNumId w:val="25"/>
  </w:num>
  <w:num w:numId="43">
    <w:abstractNumId w:val="40"/>
  </w:num>
  <w:num w:numId="44">
    <w:abstractNumId w:val="48"/>
  </w:num>
  <w:num w:numId="45">
    <w:abstractNumId w:val="62"/>
  </w:num>
  <w:num w:numId="46">
    <w:abstractNumId w:val="86"/>
  </w:num>
  <w:num w:numId="47">
    <w:abstractNumId w:val="83"/>
  </w:num>
  <w:num w:numId="48">
    <w:abstractNumId w:val="38"/>
  </w:num>
  <w:num w:numId="49">
    <w:abstractNumId w:val="76"/>
  </w:num>
  <w:num w:numId="50">
    <w:abstractNumId w:val="17"/>
  </w:num>
  <w:num w:numId="51">
    <w:abstractNumId w:val="15"/>
  </w:num>
  <w:num w:numId="52">
    <w:abstractNumId w:val="45"/>
  </w:num>
  <w:num w:numId="53">
    <w:abstractNumId w:val="50"/>
  </w:num>
  <w:num w:numId="54">
    <w:abstractNumId w:val="77"/>
  </w:num>
  <w:num w:numId="55">
    <w:abstractNumId w:val="53"/>
  </w:num>
  <w:num w:numId="56">
    <w:abstractNumId w:val="7"/>
  </w:num>
  <w:num w:numId="57">
    <w:abstractNumId w:val="87"/>
  </w:num>
  <w:num w:numId="58">
    <w:abstractNumId w:val="23"/>
  </w:num>
  <w:num w:numId="59">
    <w:abstractNumId w:val="39"/>
  </w:num>
  <w:num w:numId="60">
    <w:abstractNumId w:val="64"/>
  </w:num>
  <w:num w:numId="61">
    <w:abstractNumId w:val="63"/>
  </w:num>
  <w:num w:numId="62">
    <w:abstractNumId w:val="35"/>
  </w:num>
  <w:num w:numId="63">
    <w:abstractNumId w:val="56"/>
  </w:num>
  <w:num w:numId="64">
    <w:abstractNumId w:val="74"/>
  </w:num>
  <w:num w:numId="65">
    <w:abstractNumId w:val="4"/>
  </w:num>
  <w:num w:numId="66">
    <w:abstractNumId w:val="89"/>
  </w:num>
  <w:num w:numId="67">
    <w:abstractNumId w:val="57"/>
  </w:num>
  <w:num w:numId="68">
    <w:abstractNumId w:val="9"/>
  </w:num>
  <w:num w:numId="69">
    <w:abstractNumId w:val="61"/>
  </w:num>
  <w:num w:numId="70">
    <w:abstractNumId w:val="21"/>
  </w:num>
  <w:num w:numId="71">
    <w:abstractNumId w:val="37"/>
  </w:num>
  <w:num w:numId="72">
    <w:abstractNumId w:val="68"/>
  </w:num>
  <w:num w:numId="73">
    <w:abstractNumId w:val="85"/>
  </w:num>
  <w:num w:numId="74">
    <w:abstractNumId w:val="8"/>
  </w:num>
  <w:num w:numId="75">
    <w:abstractNumId w:val="19"/>
  </w:num>
  <w:num w:numId="76">
    <w:abstractNumId w:val="11"/>
  </w:num>
  <w:num w:numId="77">
    <w:abstractNumId w:val="81"/>
  </w:num>
  <w:num w:numId="78">
    <w:abstractNumId w:val="27"/>
  </w:num>
  <w:num w:numId="79">
    <w:abstractNumId w:val="78"/>
  </w:num>
  <w:num w:numId="80">
    <w:abstractNumId w:val="52"/>
  </w:num>
  <w:num w:numId="81">
    <w:abstractNumId w:val="51"/>
  </w:num>
  <w:num w:numId="82">
    <w:abstractNumId w:val="84"/>
  </w:num>
  <w:num w:numId="83">
    <w:abstractNumId w:val="3"/>
  </w:num>
  <w:num w:numId="84">
    <w:abstractNumId w:val="58"/>
  </w:num>
  <w:num w:numId="85">
    <w:abstractNumId w:val="13"/>
  </w:num>
  <w:num w:numId="86">
    <w:abstractNumId w:val="5"/>
  </w:num>
  <w:num w:numId="87">
    <w:abstractNumId w:val="20"/>
  </w:num>
  <w:num w:numId="88">
    <w:abstractNumId w:val="88"/>
  </w:num>
  <w:num w:numId="89">
    <w:abstractNumId w:val="6"/>
  </w:num>
  <w:num w:numId="90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F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3599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0F7419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A4AEC"/>
    <w:rsid w:val="001B23CE"/>
    <w:rsid w:val="001B2687"/>
    <w:rsid w:val="001C002E"/>
    <w:rsid w:val="001C0D81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17A49"/>
    <w:rsid w:val="003306E6"/>
    <w:rsid w:val="00333E0A"/>
    <w:rsid w:val="00337023"/>
    <w:rsid w:val="00337A40"/>
    <w:rsid w:val="00345F00"/>
    <w:rsid w:val="00352774"/>
    <w:rsid w:val="00363019"/>
    <w:rsid w:val="00365F0A"/>
    <w:rsid w:val="00373ABD"/>
    <w:rsid w:val="0037668F"/>
    <w:rsid w:val="003769E4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1A0F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0BC2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5E16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EB1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D296A"/>
    <w:rsid w:val="009D7F3E"/>
    <w:rsid w:val="009E3AEA"/>
    <w:rsid w:val="009E75BF"/>
    <w:rsid w:val="009F16AE"/>
    <w:rsid w:val="00A00E57"/>
    <w:rsid w:val="00A04ED9"/>
    <w:rsid w:val="00A05B64"/>
    <w:rsid w:val="00A16EAE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43BB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6660C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43958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08C6"/>
    <w:rsid w:val="00E52CFF"/>
    <w:rsid w:val="00E54B2E"/>
    <w:rsid w:val="00E55B13"/>
    <w:rsid w:val="00E57AFE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0C8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40A5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2437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90A5249B4403E93B6F9521A63C8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A79266-D8F6-4005-B440-9BFCC667C0DA}"/>
      </w:docPartPr>
      <w:docPartBody>
        <w:p w:rsidR="00854B1A" w:rsidRDefault="00854B1A">
          <w:pPr>
            <w:pStyle w:val="C8790A5249B4403E93B6F9521A63C88E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E91852B543548E2843E3E8D2A4483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808BD-ABEC-4D1B-9103-6400510CB95C}"/>
      </w:docPartPr>
      <w:docPartBody>
        <w:p w:rsidR="00854B1A" w:rsidRDefault="00854B1A">
          <w:pPr>
            <w:pStyle w:val="9E91852B543548E2843E3E8D2A4483CB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47F447CC416449AA891E1C87023C4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655516-B35E-4B32-8E7B-0B5CA0AE1B1E}"/>
      </w:docPartPr>
      <w:docPartBody>
        <w:p w:rsidR="00854B1A" w:rsidRDefault="00854B1A">
          <w:pPr>
            <w:pStyle w:val="047F447CC416449AA891E1C87023C49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54E35D25BB244F2940EA030E0E3BA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C551D8-63FD-400E-8063-725A483568A4}"/>
      </w:docPartPr>
      <w:docPartBody>
        <w:p w:rsidR="00854B1A" w:rsidRDefault="00854B1A">
          <w:pPr>
            <w:pStyle w:val="754E35D25BB244F2940EA030E0E3BA3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1A"/>
    <w:rsid w:val="0085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2B66-30F7-4DDA-B6E9-EC26D1AE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2</cp:revision>
  <cp:lastPrinted>2019-03-06T19:59:00Z</cp:lastPrinted>
  <dcterms:created xsi:type="dcterms:W3CDTF">2025-10-23T19:00:00Z</dcterms:created>
  <dcterms:modified xsi:type="dcterms:W3CDTF">2025-10-23T19:00:00Z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