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89" w:rsidRDefault="00BE4496">
      <w:r w:rsidRPr="00BE4496">
        <w:t>2526-0465417</w:t>
      </w:r>
      <w:r>
        <w:t xml:space="preserve"> </w:t>
      </w:r>
      <w:r w:rsidR="008A0501">
        <w:t xml:space="preserve">Substitution </w:t>
      </w:r>
      <w:proofErr w:type="gramStart"/>
      <w:r w:rsidR="008A0501">
        <w:t>forme</w:t>
      </w:r>
      <w:proofErr w:type="gramEnd"/>
      <w:r w:rsidR="008A0501">
        <w:t xml:space="preserve"> phosphate sodium à la même dose</w:t>
      </w:r>
    </w:p>
    <w:p w:rsidR="00D9748B" w:rsidRDefault="008A0501">
      <w:r>
        <w:t xml:space="preserve">DOS </w:t>
      </w:r>
      <w:r w:rsidRPr="008A0501">
        <w:t>1610764</w:t>
      </w:r>
      <w:r>
        <w:t xml:space="preserve"> EA</w:t>
      </w:r>
    </w:p>
    <w:p w:rsidR="00D9748B" w:rsidRDefault="00D9748B">
      <w:r>
        <w:t>Selon déclarante :</w:t>
      </w:r>
    </w:p>
    <w:p w:rsidR="00D9748B" w:rsidRDefault="00D9748B">
      <w:r>
        <w:t>« </w:t>
      </w:r>
      <w:r w:rsidRPr="00D9748B">
        <w:t xml:space="preserve">Patient recevait  </w:t>
      </w:r>
      <w:proofErr w:type="spellStart"/>
      <w:r w:rsidRPr="00D9748B">
        <w:t>jamp</w:t>
      </w:r>
      <w:proofErr w:type="spellEnd"/>
      <w:r w:rsidRPr="00D9748B">
        <w:t xml:space="preserve"> phosphate de sodium 500mg </w:t>
      </w:r>
      <w:proofErr w:type="spellStart"/>
      <w:r w:rsidRPr="00D9748B">
        <w:t>comp</w:t>
      </w:r>
      <w:proofErr w:type="spellEnd"/>
      <w:r w:rsidRPr="00D9748B">
        <w:t xml:space="preserve"> effervescent à domicile. Il est inscrit comme </w:t>
      </w:r>
      <w:proofErr w:type="spellStart"/>
      <w:r w:rsidRPr="00D9748B">
        <w:t>jamp</w:t>
      </w:r>
      <w:proofErr w:type="spellEnd"/>
      <w:r w:rsidRPr="00D9748B">
        <w:t xml:space="preserve"> phosphate de sodium 1.936G </w:t>
      </w:r>
      <w:proofErr w:type="spellStart"/>
      <w:r w:rsidRPr="00D9748B">
        <w:t>comp</w:t>
      </w:r>
      <w:proofErr w:type="spellEnd"/>
      <w:r w:rsidRPr="00D9748B">
        <w:t xml:space="preserve"> effervescent au </w:t>
      </w:r>
      <w:proofErr w:type="spellStart"/>
      <w:r w:rsidRPr="00D9748B">
        <w:t>dsq</w:t>
      </w:r>
      <w:proofErr w:type="spellEnd"/>
      <w:r w:rsidRPr="00D9748B">
        <w:t xml:space="preserve"> (sous forme de 1.936 g </w:t>
      </w:r>
      <w:proofErr w:type="spellStart"/>
      <w:r w:rsidRPr="00D9748B">
        <w:t>monobasic</w:t>
      </w:r>
      <w:proofErr w:type="spellEnd"/>
      <w:r w:rsidRPr="00D9748B">
        <w:t xml:space="preserve"> sodium phosphate)</w:t>
      </w:r>
      <w:r w:rsidR="004F6260">
        <w:t xml:space="preserve"> [« dibasique » selon</w:t>
      </w:r>
      <w:r w:rsidR="008C1285">
        <w:t xml:space="preserve"> DSQ</w:t>
      </w:r>
      <w:proofErr w:type="gramStart"/>
      <w:r w:rsidR="008C1285">
        <w:t>]</w:t>
      </w:r>
      <w:r w:rsidRPr="00D9748B">
        <w:t xml:space="preserve"> .</w:t>
      </w:r>
      <w:proofErr w:type="gramEnd"/>
      <w:r w:rsidRPr="00D9748B">
        <w:t xml:space="preserve"> Selon pharmacienne de distribution avec qui j'ai parlé ce jour (08-12-2025) il y a eu substitution pour 4 cos de   </w:t>
      </w:r>
      <w:proofErr w:type="spellStart"/>
      <w:r w:rsidRPr="00D9748B">
        <w:t>jamp</w:t>
      </w:r>
      <w:proofErr w:type="spellEnd"/>
      <w:r w:rsidRPr="00D9748B">
        <w:t xml:space="preserve"> phosphate de sodium 500mg </w:t>
      </w:r>
      <w:proofErr w:type="spellStart"/>
      <w:r w:rsidRPr="00D9748B">
        <w:t>comp</w:t>
      </w:r>
      <w:proofErr w:type="spellEnd"/>
      <w:r w:rsidRPr="00D9748B">
        <w:t xml:space="preserve"> effervescent (2.0G de phosphate élémentaire</w:t>
      </w:r>
      <w:proofErr w:type="gramStart"/>
      <w:r w:rsidRPr="00D9748B">
        <w:t>) .</w:t>
      </w:r>
      <w:proofErr w:type="gramEnd"/>
      <w:r w:rsidRPr="00D9748B">
        <w:t xml:space="preserve"> Ceci correspond à 4 fois la dose. Patient en diarrhée.</w:t>
      </w:r>
      <w:r>
        <w:t> »</w:t>
      </w:r>
    </w:p>
    <w:p w:rsidR="00E1605F" w:rsidRDefault="00E1605F">
      <w:r>
        <w:t>D</w:t>
      </w:r>
      <w:r w:rsidR="008C1285">
        <w:t>o</w:t>
      </w:r>
      <w:r>
        <w:t>nc au DSQ, la teneur des comprimés de phosphate de sodium et la dose prescrite sont en phosphate dibasique :</w:t>
      </w:r>
    </w:p>
    <w:p w:rsidR="00D9748B" w:rsidRDefault="007270AA">
      <w:r w:rsidRPr="007270AA">
        <w:drawing>
          <wp:inline distT="0" distB="0" distL="0" distR="0" wp14:anchorId="46CD836B" wp14:editId="49AD0AAA">
            <wp:extent cx="5486400" cy="5422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0AA" w:rsidRDefault="007270AA">
      <w:r w:rsidRPr="007270AA">
        <w:drawing>
          <wp:inline distT="0" distB="0" distL="0" distR="0" wp14:anchorId="44F66757" wp14:editId="33128497">
            <wp:extent cx="4915586" cy="2276793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05F" w:rsidRDefault="00E1605F">
      <w:r>
        <w:t>Selon la forme à saisir à l’écran Ariane que m’a montré une ATSP, n’avons que des comprimés de 500 mg effervescent, sans spécification qu’il s’agit de teneur en phosphate élémentaire.</w:t>
      </w:r>
    </w:p>
    <w:p w:rsidR="00D9748B" w:rsidRDefault="00D9748B">
      <w:r w:rsidRPr="00D9748B">
        <w:lastRenderedPageBreak/>
        <w:drawing>
          <wp:inline distT="0" distB="0" distL="0" distR="0" wp14:anchorId="113C5725" wp14:editId="22FC056B">
            <wp:extent cx="5486400" cy="19272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48B" w:rsidRDefault="00D9748B">
      <w:r w:rsidRPr="00D9748B">
        <w:drawing>
          <wp:inline distT="0" distB="0" distL="0" distR="0" wp14:anchorId="0BFE620D" wp14:editId="03558F27">
            <wp:extent cx="5486400" cy="50990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0AA" w:rsidRDefault="007270AA">
      <w:r>
        <w:t>Ajout instructions par pharmacienne :</w:t>
      </w:r>
    </w:p>
    <w:p w:rsidR="00D9748B" w:rsidRDefault="00D9748B">
      <w:r w:rsidRPr="00D9748B">
        <w:drawing>
          <wp:inline distT="0" distB="0" distL="0" distR="0" wp14:anchorId="0316EA8A" wp14:editId="5BDD670E">
            <wp:extent cx="5486400" cy="197421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48B" w:rsidRDefault="00D9748B">
      <w:r w:rsidRPr="00D9748B">
        <w:drawing>
          <wp:inline distT="0" distB="0" distL="0" distR="0" wp14:anchorId="51F2E845" wp14:editId="2AAA97B6">
            <wp:extent cx="5486400" cy="3708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48B" w:rsidRDefault="009441DD">
      <w:r>
        <w:t>Service quotidien tel quel selon Ariane :</w:t>
      </w:r>
    </w:p>
    <w:p w:rsidR="009441DD" w:rsidRDefault="009441DD">
      <w:r w:rsidRPr="009441DD">
        <w:drawing>
          <wp:inline distT="0" distB="0" distL="0" distR="0" wp14:anchorId="2A7FAE29" wp14:editId="58C5FBF1">
            <wp:extent cx="5486400" cy="1237615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1DD" w:rsidRDefault="009441DD"/>
    <w:p w:rsidR="009441DD" w:rsidRDefault="009441DD">
      <w:r w:rsidRPr="009441DD">
        <w:drawing>
          <wp:inline distT="0" distB="0" distL="0" distR="0" wp14:anchorId="5F3B6D6A" wp14:editId="7ECC61CD">
            <wp:extent cx="5486400" cy="414020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1DD" w:rsidRDefault="009441DD"/>
    <w:p w:rsidR="0000211D" w:rsidRDefault="00E1605F">
      <w:r>
        <w:t>Au FAD</w:t>
      </w:r>
      <w:r w:rsidR="008C1285">
        <w:t>M le 22 novembre</w:t>
      </w:r>
      <w:r>
        <w:t>, dose en fonction de forme dibasique :</w:t>
      </w:r>
    </w:p>
    <w:p w:rsidR="00E1605F" w:rsidRDefault="00E1605F">
      <w:r w:rsidRPr="00E1605F">
        <w:drawing>
          <wp:inline distT="0" distB="0" distL="0" distR="0" wp14:anchorId="276A8BC5" wp14:editId="4FCBC606">
            <wp:extent cx="5486400" cy="50482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05F" w:rsidRDefault="00E1605F">
      <w:r>
        <w:t>Lendemain le 23 novembre, apparait sous forme élémentaire mais même dose, donc près de 4X la dose:</w:t>
      </w:r>
    </w:p>
    <w:p w:rsidR="00E1605F" w:rsidRDefault="00E1605F">
      <w:r w:rsidRPr="00E1605F">
        <w:drawing>
          <wp:inline distT="0" distB="0" distL="0" distR="0" wp14:anchorId="1C58703E" wp14:editId="5530E164">
            <wp:extent cx="5486400" cy="104838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05F" w:rsidRDefault="00E1605F">
      <w:r>
        <w:t>Administré ad congé le 25 novembre</w:t>
      </w:r>
      <w:r w:rsidR="00B75030">
        <w:t>  (on voit cependant que sur FADM, on précise que les comprimés sont en phosphate élémentaire sans spécifier l’équivalence en phosphate dibasique ou monobasique pour vérification)</w:t>
      </w:r>
    </w:p>
    <w:p w:rsidR="00E1605F" w:rsidRDefault="00843BE8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1352550</wp:posOffset>
                </wp:positionV>
                <wp:extent cx="492760" cy="147320"/>
                <wp:effectExtent l="0" t="0" r="2159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147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83.2pt;margin-top:106.5pt;width:38.8pt;height:1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" filled="f" strokecolor="red" strokeweight="2pt"/>
            </w:pict>
          </mc:Fallback>
        </mc:AlternateContent>
      </w:r>
      <w:r w:rsidR="00E1605F">
        <w:rPr>
          <w:noProof/>
          <w:lang w:eastAsia="fr-CA"/>
        </w:rPr>
        <w:drawing>
          <wp:inline distT="0" distB="0" distL="0" distR="0">
            <wp:extent cx="5481320" cy="2921000"/>
            <wp:effectExtent l="0" t="0" r="508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5F" w:rsidRDefault="00E1605F">
      <w:r>
        <w:t>Erreur rapportée par médecin le 8 décembre (visite externe?).</w:t>
      </w:r>
    </w:p>
    <w:p w:rsidR="00843BE8" w:rsidRDefault="00843BE8">
      <w:r>
        <w:t>FC :</w:t>
      </w:r>
    </w:p>
    <w:p w:rsidR="00240376" w:rsidRDefault="00240376" w:rsidP="00843BE8">
      <w:pPr>
        <w:pStyle w:val="Paragraphedeliste"/>
        <w:numPr>
          <w:ilvl w:val="0"/>
          <w:numId w:val="1"/>
        </w:numPr>
      </w:pPr>
      <w:r>
        <w:t>Dose au DSQ exprimée seulement en termes de forme dibasique</w:t>
      </w:r>
    </w:p>
    <w:p w:rsidR="00843BE8" w:rsidRDefault="00843BE8" w:rsidP="00843BE8">
      <w:pPr>
        <w:pStyle w:val="Paragraphedeliste"/>
        <w:numPr>
          <w:ilvl w:val="0"/>
          <w:numId w:val="1"/>
        </w:numPr>
      </w:pPr>
      <w:r>
        <w:t>Seulement option saisie forme élémentaire sans équivalence en forme dibasique</w:t>
      </w:r>
    </w:p>
    <w:p w:rsidR="00B75030" w:rsidRDefault="00B75030" w:rsidP="00843BE8">
      <w:pPr>
        <w:pStyle w:val="Paragraphedeliste"/>
        <w:numPr>
          <w:ilvl w:val="0"/>
          <w:numId w:val="1"/>
        </w:numPr>
      </w:pPr>
      <w:r>
        <w:t>Pas de mention d’équivalence en phosphate mono/dibasique à l’écran</w:t>
      </w:r>
    </w:p>
    <w:p w:rsidR="005E22F4" w:rsidRDefault="005E22F4" w:rsidP="005E22F4">
      <w:r>
        <w:lastRenderedPageBreak/>
        <w:t>Événement semblable survenu en août 2023 où nous confondons teneur du sel et forme élémentaire de magnésium oxyde.</w:t>
      </w:r>
    </w:p>
    <w:p w:rsidR="005E22F4" w:rsidRDefault="005E22F4" w:rsidP="005E22F4"/>
    <w:p w:rsidR="00B75030" w:rsidRDefault="0096392B" w:rsidP="0096392B">
      <w:r>
        <w:t xml:space="preserve">Standards Santé Canada est d’afficher les teneurs dans les 2 formes, ici un exemple de </w:t>
      </w:r>
      <w:proofErr w:type="spellStart"/>
      <w:r>
        <w:t>supplement</w:t>
      </w:r>
      <w:proofErr w:type="spellEnd"/>
      <w:r>
        <w:t xml:space="preserve"> de fer et calcium:</w:t>
      </w:r>
    </w:p>
    <w:p w:rsidR="0096392B" w:rsidRDefault="0096392B" w:rsidP="0096392B">
      <w:pPr>
        <w:pStyle w:val="Paragraphedeliste"/>
        <w:numPr>
          <w:ilvl w:val="0"/>
          <w:numId w:val="1"/>
        </w:numPr>
      </w:pPr>
      <w:r w:rsidRPr="00D104FF">
        <w:rPr>
          <w:noProof/>
          <w:lang w:eastAsia="fr-CA"/>
        </w:rPr>
        <w:drawing>
          <wp:inline distT="0" distB="0" distL="0" distR="0" wp14:anchorId="62E59302" wp14:editId="1C45AB17">
            <wp:extent cx="2609088" cy="2447909"/>
            <wp:effectExtent l="0" t="0" r="127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10741" cy="244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92B" w:rsidRDefault="0096392B" w:rsidP="0096392B">
      <w:pPr>
        <w:pStyle w:val="Paragraphedeliste"/>
        <w:numPr>
          <w:ilvl w:val="0"/>
          <w:numId w:val="1"/>
        </w:numPr>
      </w:pPr>
      <w:hyperlink r:id="rId18" w:history="1">
        <w:r w:rsidRPr="00B90934">
          <w:rPr>
            <w:rStyle w:val="Lienhypertexte"/>
          </w:rPr>
          <w:t>https://www.canada.ca/content/dam/hc-sc/documents/services/drugs-health-products/reports-publications/medeffect-canada/good-label-package-practices-guide-non-prescription-drugs-natural-health-products-guidance/good-label-package-practices-guide-non-prescription-drugs-natural-health-products-eng.pdf</w:t>
        </w:r>
      </w:hyperlink>
    </w:p>
    <w:p w:rsidR="0096392B" w:rsidRDefault="0096392B" w:rsidP="0096392B">
      <w:pPr>
        <w:pStyle w:val="Paragraphedeliste"/>
        <w:numPr>
          <w:ilvl w:val="0"/>
          <w:numId w:val="1"/>
        </w:numPr>
      </w:pPr>
      <w:r w:rsidRPr="00D104FF">
        <w:rPr>
          <w:noProof/>
          <w:lang w:eastAsia="fr-CA"/>
        </w:rPr>
        <w:drawing>
          <wp:inline distT="0" distB="0" distL="0" distR="0" wp14:anchorId="37C15265" wp14:editId="0E82B9A5">
            <wp:extent cx="5486400" cy="226758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92B" w:rsidRDefault="0096392B" w:rsidP="0096392B">
      <w:pPr>
        <w:pStyle w:val="Paragraphedeliste"/>
        <w:numPr>
          <w:ilvl w:val="0"/>
          <w:numId w:val="1"/>
        </w:numPr>
      </w:pPr>
      <w:r>
        <w:t>ISMP US à propos de confusion entre sel de fer et élémentaire – transposable à mon avis :</w:t>
      </w:r>
    </w:p>
    <w:p w:rsidR="0096392B" w:rsidRDefault="0096392B" w:rsidP="0096392B">
      <w:pPr>
        <w:pStyle w:val="Paragraphedeliste"/>
        <w:numPr>
          <w:ilvl w:val="0"/>
          <w:numId w:val="1"/>
        </w:numPr>
      </w:pPr>
      <w:r w:rsidRPr="00D104FF">
        <w:rPr>
          <w:noProof/>
          <w:lang w:eastAsia="fr-CA"/>
        </w:rPr>
        <w:lastRenderedPageBreak/>
        <w:drawing>
          <wp:inline distT="0" distB="0" distL="0" distR="0" wp14:anchorId="4818B752" wp14:editId="773DB075">
            <wp:extent cx="5486400" cy="1805305"/>
            <wp:effectExtent l="0" t="0" r="0" b="444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92B" w:rsidRDefault="0096392B" w:rsidP="0096392B">
      <w:pPr>
        <w:pStyle w:val="Paragraphedeliste"/>
        <w:numPr>
          <w:ilvl w:val="0"/>
          <w:numId w:val="1"/>
        </w:numPr>
      </w:pPr>
      <w:r w:rsidRPr="00D104FF">
        <w:rPr>
          <w:noProof/>
          <w:lang w:eastAsia="fr-CA"/>
        </w:rPr>
        <w:drawing>
          <wp:inline distT="0" distB="0" distL="0" distR="0" wp14:anchorId="14A77962" wp14:editId="77E86842">
            <wp:extent cx="5486400" cy="65659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92B" w:rsidRDefault="0096392B" w:rsidP="0096392B">
      <w:pPr>
        <w:pStyle w:val="Paragraphedeliste"/>
        <w:numPr>
          <w:ilvl w:val="0"/>
          <w:numId w:val="1"/>
        </w:numPr>
      </w:pPr>
      <w:r w:rsidRPr="00D104FF">
        <w:rPr>
          <w:noProof/>
          <w:lang w:eastAsia="fr-CA"/>
        </w:rPr>
        <w:drawing>
          <wp:inline distT="0" distB="0" distL="0" distR="0" wp14:anchorId="29F4AD01" wp14:editId="2A9DD11D">
            <wp:extent cx="5486400" cy="1384935"/>
            <wp:effectExtent l="0" t="0" r="0" b="571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BE8" w:rsidRDefault="00843BE8" w:rsidP="00843BE8">
      <w:r>
        <w:t>Recommandation ISMP pour erreur similaire avec calcium carbonate :</w:t>
      </w:r>
    </w:p>
    <w:p w:rsidR="00843BE8" w:rsidRDefault="00B75030" w:rsidP="00843BE8">
      <w:r w:rsidRPr="00B75030">
        <w:drawing>
          <wp:inline distT="0" distB="0" distL="0" distR="0" wp14:anchorId="649890E5" wp14:editId="0AAE67F1">
            <wp:extent cx="5486400" cy="291973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030" w:rsidRDefault="00B75030" w:rsidP="00843BE8">
      <w:hyperlink r:id="rId24" w:history="1">
        <w:r w:rsidRPr="00C854B6">
          <w:rPr>
            <w:rStyle w:val="Lienhypertexte"/>
          </w:rPr>
          <w:t>https://ismpcanada.ca/wp-content/uploads/2022/01/BISMPC2021-n1-ca</w:t>
        </w:r>
        <w:r w:rsidRPr="00C854B6">
          <w:rPr>
            <w:rStyle w:val="Lienhypertexte"/>
          </w:rPr>
          <w:t>l</w:t>
        </w:r>
        <w:r w:rsidRPr="00C854B6">
          <w:rPr>
            <w:rStyle w:val="Lienhypertexte"/>
          </w:rPr>
          <w:t>cium.pdf</w:t>
        </w:r>
      </w:hyperlink>
    </w:p>
    <w:p w:rsidR="00B75030" w:rsidRDefault="000201EB" w:rsidP="00843BE8">
      <w:r>
        <w:t>Ces derniers considèrent que le facteur contributif principal est un affichage inexact de la teneur des comprimés</w:t>
      </w:r>
      <w:r w:rsidR="00070BCD">
        <w:t xml:space="preserve"> ou du moins incomplète :</w:t>
      </w:r>
    </w:p>
    <w:p w:rsidR="00070BCD" w:rsidRDefault="00070BCD" w:rsidP="00843BE8">
      <w:r w:rsidRPr="00070BCD">
        <w:lastRenderedPageBreak/>
        <w:drawing>
          <wp:inline distT="0" distB="0" distL="0" distR="0" wp14:anchorId="2930F8AB" wp14:editId="56C07F9A">
            <wp:extent cx="3915321" cy="443927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443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BCD" w:rsidRDefault="00070BCD" w:rsidP="00843BE8">
      <w:r>
        <w:t xml:space="preserve">Je crois que notre erreur est similaire, où on a cru que la dose </w:t>
      </w:r>
    </w:p>
    <w:p w:rsidR="00843BE8" w:rsidRDefault="00B75030" w:rsidP="00843BE8">
      <w:r>
        <w:t>Donc recommandations :</w:t>
      </w:r>
    </w:p>
    <w:p w:rsidR="00B75030" w:rsidRDefault="00B75030" w:rsidP="00B75030">
      <w:pPr>
        <w:pStyle w:val="Paragraphedeliste"/>
        <w:numPr>
          <w:ilvl w:val="0"/>
          <w:numId w:val="1"/>
        </w:numPr>
      </w:pPr>
      <w:r>
        <w:t>Afficher à l’écran Ariane l’équivalent en phosphate mono-dibasique</w:t>
      </w:r>
      <w:r w:rsidR="00636B95">
        <w:t xml:space="preserve"> (pour aider ATSP à sélectionner </w:t>
      </w:r>
      <w:r w:rsidR="00DC05ED">
        <w:t>(voir comment nous avons bâti la saisie pour le magnésium oxyde)</w:t>
      </w:r>
    </w:p>
    <w:p w:rsidR="00B75030" w:rsidRDefault="00B75030" w:rsidP="00B75030">
      <w:pPr>
        <w:pStyle w:val="Paragraphedeliste"/>
        <w:numPr>
          <w:ilvl w:val="0"/>
          <w:numId w:val="1"/>
        </w:numPr>
      </w:pPr>
      <w:r>
        <w:t>Faire afficher au FADM en plus de teneur en forme élémentaire son équivalent en forme mono/dibasique</w:t>
      </w:r>
    </w:p>
    <w:p w:rsidR="00B75030" w:rsidRDefault="009948AD" w:rsidP="00B75030">
      <w:pPr>
        <w:pStyle w:val="Paragraphedeliste"/>
        <w:numPr>
          <w:ilvl w:val="0"/>
          <w:numId w:val="1"/>
        </w:numPr>
      </w:pPr>
      <w:r>
        <w:t>Suggérer aux pharmacies communautaires d’afficher dose en phosphore élémentaire + équivalent en terme de phosphate mono/dibasique</w:t>
      </w:r>
    </w:p>
    <w:p w:rsidR="009948AD" w:rsidRDefault="009948AD" w:rsidP="00B75030">
      <w:pPr>
        <w:pStyle w:val="Paragraphedeliste"/>
        <w:numPr>
          <w:ilvl w:val="0"/>
          <w:numId w:val="1"/>
        </w:numPr>
      </w:pPr>
      <w:bookmarkStart w:id="0" w:name="_GoBack"/>
      <w:bookmarkEnd w:id="0"/>
    </w:p>
    <w:sectPr w:rsidR="009948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75FB2"/>
    <w:multiLevelType w:val="hybridMultilevel"/>
    <w:tmpl w:val="F71C6D78"/>
    <w:lvl w:ilvl="0" w:tplc="7F2AED30">
      <w:start w:val="25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96"/>
    <w:rsid w:val="0000211D"/>
    <w:rsid w:val="000201EB"/>
    <w:rsid w:val="00070BCD"/>
    <w:rsid w:val="00240376"/>
    <w:rsid w:val="004F6260"/>
    <w:rsid w:val="005E22F4"/>
    <w:rsid w:val="00636B95"/>
    <w:rsid w:val="007270AA"/>
    <w:rsid w:val="00843BE8"/>
    <w:rsid w:val="008A0501"/>
    <w:rsid w:val="008C1285"/>
    <w:rsid w:val="009441DD"/>
    <w:rsid w:val="00957F89"/>
    <w:rsid w:val="0096392B"/>
    <w:rsid w:val="009948AD"/>
    <w:rsid w:val="00B75030"/>
    <w:rsid w:val="00BE4496"/>
    <w:rsid w:val="00D9748B"/>
    <w:rsid w:val="00DC05ED"/>
    <w:rsid w:val="00E1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48B"/>
    <w:rPr>
      <w:rFonts w:ascii="Tahoma" w:hAnsi="Tahoma" w:cs="Tahoma"/>
      <w:sz w:val="16"/>
      <w:szCs w:val="16"/>
    </w:rPr>
  </w:style>
  <w:style w:type="character" w:customStyle="1" w:styleId="vkekvd">
    <w:name w:val="vkekvd"/>
    <w:basedOn w:val="Policepardfaut"/>
    <w:rsid w:val="009441DD"/>
  </w:style>
  <w:style w:type="paragraph" w:styleId="Paragraphedeliste">
    <w:name w:val="List Paragraph"/>
    <w:basedOn w:val="Normal"/>
    <w:uiPriority w:val="34"/>
    <w:qFormat/>
    <w:rsid w:val="00843BE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3BE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750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48B"/>
    <w:rPr>
      <w:rFonts w:ascii="Tahoma" w:hAnsi="Tahoma" w:cs="Tahoma"/>
      <w:sz w:val="16"/>
      <w:szCs w:val="16"/>
    </w:rPr>
  </w:style>
  <w:style w:type="character" w:customStyle="1" w:styleId="vkekvd">
    <w:name w:val="vkekvd"/>
    <w:basedOn w:val="Policepardfaut"/>
    <w:rsid w:val="009441DD"/>
  </w:style>
  <w:style w:type="paragraph" w:styleId="Paragraphedeliste">
    <w:name w:val="List Paragraph"/>
    <w:basedOn w:val="Normal"/>
    <w:uiPriority w:val="34"/>
    <w:qFormat/>
    <w:rsid w:val="00843BE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3BE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750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canada.ca/content/dam/hc-sc/documents/services/drugs-health-products/reports-publications/medeffect-canada/good-label-package-practices-guide-non-prescription-drugs-natural-health-products-guidance/good-label-package-practices-guide-non-prescription-drugs-natural-health-products-eng.pd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ismpcanada.ca/wp-content/uploads/2022/01/BISMPC2021-n1-calcium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 Maltais</dc:creator>
  <cp:lastModifiedBy>Serge Maltais</cp:lastModifiedBy>
  <cp:revision>9</cp:revision>
  <dcterms:created xsi:type="dcterms:W3CDTF">2025-12-23T17:01:00Z</dcterms:created>
  <dcterms:modified xsi:type="dcterms:W3CDTF">2025-12-23T21:54:00Z</dcterms:modified>
</cp:coreProperties>
</file>