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70" w:rsidRPr="00775D65" w:rsidRDefault="00383A70" w:rsidP="00891BD4">
      <w:pPr>
        <w:spacing w:before="0" w:after="0"/>
        <w:rPr>
          <w:color w:val="FF0000"/>
          <w:sz w:val="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701"/>
        <w:gridCol w:w="2693"/>
        <w:gridCol w:w="2268"/>
        <w:gridCol w:w="2126"/>
        <w:gridCol w:w="1728"/>
      </w:tblGrid>
      <w:tr w:rsidR="008F6460" w:rsidRPr="00E9602C" w:rsidTr="00775D65">
        <w:trPr>
          <w:trHeight w:val="234"/>
        </w:trPr>
        <w:tc>
          <w:tcPr>
            <w:tcW w:w="1526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774376" w:rsidRDefault="00774376" w:rsidP="00774376">
            <w:pPr>
              <w:keepNext/>
              <w:spacing w:line="276" w:lineRule="auto"/>
              <w:jc w:val="center"/>
              <w:rPr>
                <w:rFonts w:cstheme="minorHAnsi"/>
                <w:b/>
              </w:rPr>
            </w:pPr>
            <w:r w:rsidRPr="00774376">
              <w:rPr>
                <w:rFonts w:cstheme="minorHAnsi"/>
                <w:b/>
              </w:rPr>
              <w:t>FORMATS DISPONIBLES</w:t>
            </w:r>
          </w:p>
        </w:tc>
        <w:tc>
          <w:tcPr>
            <w:tcW w:w="283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2693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126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728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774376">
              <w:rPr>
                <w:b/>
              </w:rPr>
              <w:t>S</w:t>
            </w:r>
          </w:p>
        </w:tc>
      </w:tr>
      <w:tr w:rsidR="00D917A8" w:rsidRPr="00E9602C" w:rsidTr="00775D65">
        <w:trPr>
          <w:trHeight w:val="233"/>
        </w:trPr>
        <w:tc>
          <w:tcPr>
            <w:tcW w:w="1526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774376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VOLUME ET</w:t>
            </w:r>
            <w:r w:rsidR="008F6460" w:rsidRPr="001A0901">
              <w:rPr>
                <w:rFonts w:ascii="Calibri Light" w:hAnsi="Calibri Light"/>
                <w:sz w:val="20"/>
              </w:rPr>
              <w:t xml:space="preserve"> DILUANT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2693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126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72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282736" w:rsidRPr="00E9602C" w:rsidTr="00775D65">
        <w:trPr>
          <w:trHeight w:val="1217"/>
        </w:trPr>
        <w:tc>
          <w:tcPr>
            <w:tcW w:w="1526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82736" w:rsidRPr="00775D65" w:rsidRDefault="00F00823" w:rsidP="00F00823">
            <w:pPr>
              <w:pStyle w:val="Sansinterligne"/>
            </w:pPr>
            <w:r w:rsidRPr="00775D65">
              <w:t xml:space="preserve">Fiole </w:t>
            </w:r>
            <w:proofErr w:type="spellStart"/>
            <w:r w:rsidRPr="00775D65">
              <w:t>unidose</w:t>
            </w:r>
            <w:proofErr w:type="spellEnd"/>
          </w:p>
          <w:p w:rsidR="00F00823" w:rsidRPr="00775D65" w:rsidRDefault="00F00823" w:rsidP="00F00823">
            <w:pPr>
              <w:pStyle w:val="Sansinterligne"/>
            </w:pPr>
            <w:r w:rsidRPr="00775D65">
              <w:t xml:space="preserve">400 mg/20 </w:t>
            </w:r>
            <w:proofErr w:type="spellStart"/>
            <w:r w:rsidRPr="00775D65">
              <w:t>mL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282736" w:rsidRPr="00775D65" w:rsidRDefault="00B23126" w:rsidP="00664B42">
            <w:pPr>
              <w:pStyle w:val="Sansinterligne"/>
            </w:pPr>
            <w:r w:rsidRPr="00775D65">
              <w:t>Déjà dilué</w:t>
            </w:r>
          </w:p>
          <w:p w:rsidR="00282736" w:rsidRPr="00775D65" w:rsidRDefault="00282736" w:rsidP="00664B42">
            <w:pPr>
              <w:pStyle w:val="Sansinterligne"/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82736" w:rsidRPr="00775D65" w:rsidRDefault="00F00823" w:rsidP="00664B42">
            <w:pPr>
              <w:pStyle w:val="Sansinterligne"/>
            </w:pPr>
            <w:r w:rsidRPr="00775D65">
              <w:t>20 mg/</w:t>
            </w:r>
            <w:proofErr w:type="spellStart"/>
            <w:r w:rsidRPr="00775D65">
              <w:t>mL</w:t>
            </w:r>
            <w:proofErr w:type="spellEnd"/>
          </w:p>
          <w:p w:rsidR="00F00823" w:rsidRPr="00775D65" w:rsidRDefault="00F00823" w:rsidP="00664B42">
            <w:pPr>
              <w:pStyle w:val="Sansinterligne"/>
            </w:pPr>
          </w:p>
          <w:p w:rsidR="00B23126" w:rsidRPr="00775D65" w:rsidRDefault="00F00823" w:rsidP="00775D65">
            <w:pPr>
              <w:pStyle w:val="Sansinterligne"/>
              <w:jc w:val="left"/>
            </w:pPr>
            <w:r w:rsidRPr="00775D65">
              <w:t>Solution</w:t>
            </w:r>
            <w:r w:rsidR="00775D65">
              <w:t xml:space="preserve"> incolore ou </w:t>
            </w:r>
            <w:r w:rsidRPr="00775D65">
              <w:t>légèrement jaune</w:t>
            </w:r>
          </w:p>
          <w:p w:rsidR="00B23126" w:rsidRPr="00775D65" w:rsidRDefault="00B23126" w:rsidP="00664B42">
            <w:pPr>
              <w:pStyle w:val="Sansinterligne"/>
            </w:pPr>
          </w:p>
          <w:p w:rsidR="00F00823" w:rsidRPr="00775D65" w:rsidRDefault="00B23126" w:rsidP="00664B42">
            <w:pPr>
              <w:pStyle w:val="Sansinterligne"/>
            </w:pPr>
            <w:r w:rsidRPr="00775D65">
              <w:t xml:space="preserve">Ne pas agiter </w:t>
            </w:r>
            <w:r w:rsidR="00F00823" w:rsidRPr="00775D65">
              <w:t xml:space="preserve"> </w:t>
            </w:r>
          </w:p>
          <w:p w:rsidR="00282736" w:rsidRPr="00775D65" w:rsidRDefault="00282736" w:rsidP="00664B42">
            <w:pPr>
              <w:pStyle w:val="Sansinterligne"/>
            </w:pPr>
          </w:p>
          <w:p w:rsidR="00282736" w:rsidRPr="00775D65" w:rsidRDefault="00282736" w:rsidP="00664B42">
            <w:pPr>
              <w:pStyle w:val="Sansinterligne"/>
            </w:pPr>
          </w:p>
        </w:tc>
        <w:tc>
          <w:tcPr>
            <w:tcW w:w="269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B23126" w:rsidRPr="00775D65" w:rsidRDefault="00B23126" w:rsidP="0074688A">
            <w:pPr>
              <w:spacing w:before="120" w:after="0"/>
              <w:contextualSpacing/>
              <w:jc w:val="left"/>
              <w:rPr>
                <w:rFonts w:eastAsia="Calibri" w:cstheme="minorHAnsi"/>
                <w:szCs w:val="20"/>
              </w:rPr>
            </w:pPr>
            <w:r w:rsidRPr="00775D65">
              <w:rPr>
                <w:rFonts w:eastAsia="Calibri" w:cstheme="minorHAnsi"/>
                <w:szCs w:val="20"/>
              </w:rPr>
              <w:t xml:space="preserve">10 mg/kg </w:t>
            </w:r>
          </w:p>
          <w:p w:rsidR="00B23126" w:rsidRPr="00775D65" w:rsidRDefault="00B23126" w:rsidP="0074688A">
            <w:pPr>
              <w:spacing w:before="120" w:after="0"/>
              <w:contextualSpacing/>
              <w:jc w:val="left"/>
              <w:rPr>
                <w:rFonts w:eastAsia="Calibri" w:cstheme="minorHAnsi"/>
                <w:szCs w:val="20"/>
              </w:rPr>
            </w:pPr>
          </w:p>
          <w:p w:rsidR="0074688A" w:rsidRPr="00775D65" w:rsidRDefault="00B23126" w:rsidP="0074688A">
            <w:pPr>
              <w:spacing w:before="120" w:after="0"/>
              <w:contextualSpacing/>
              <w:jc w:val="left"/>
              <w:rPr>
                <w:rFonts w:eastAsia="Calibri" w:cstheme="minorHAnsi"/>
                <w:szCs w:val="20"/>
              </w:rPr>
            </w:pPr>
            <w:r w:rsidRPr="00775D65">
              <w:rPr>
                <w:rFonts w:eastAsia="Calibri" w:cstheme="minorHAnsi"/>
                <w:szCs w:val="20"/>
              </w:rPr>
              <w:t xml:space="preserve">Patients de plus de </w:t>
            </w:r>
            <w:r w:rsidR="00775D65" w:rsidRPr="00775D65">
              <w:rPr>
                <w:rFonts w:eastAsia="Calibri" w:cstheme="minorHAnsi"/>
                <w:szCs w:val="20"/>
              </w:rPr>
              <w:t>1</w:t>
            </w:r>
            <w:r w:rsidRPr="00775D65">
              <w:rPr>
                <w:rFonts w:eastAsia="Calibri" w:cstheme="minorHAnsi"/>
                <w:szCs w:val="20"/>
              </w:rPr>
              <w:t>20 kg : dose max de 1200 mg</w:t>
            </w:r>
          </w:p>
          <w:p w:rsidR="00282736" w:rsidRPr="00775D65" w:rsidRDefault="00282736" w:rsidP="0074688A">
            <w:pPr>
              <w:spacing w:before="120" w:after="0"/>
              <w:contextualSpacing/>
              <w:jc w:val="left"/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:rsidR="00282736" w:rsidRPr="00775D65" w:rsidRDefault="00F00823" w:rsidP="00282736">
            <w:pPr>
              <w:pStyle w:val="Sansinterligne"/>
              <w:jc w:val="left"/>
            </w:pPr>
            <w:r w:rsidRPr="00775D65">
              <w:t>Dans NS</w:t>
            </w:r>
          </w:p>
          <w:p w:rsidR="00F00823" w:rsidRPr="00775D65" w:rsidRDefault="00775D65" w:rsidP="00282736">
            <w:pPr>
              <w:pStyle w:val="Sansinterligne"/>
              <w:jc w:val="left"/>
            </w:pPr>
            <w:r w:rsidRPr="00775D65">
              <w:t xml:space="preserve">Pour un </w:t>
            </w:r>
            <w:r w:rsidRPr="00775D65">
              <w:rPr>
                <w:b/>
              </w:rPr>
              <w:t>v</w:t>
            </w:r>
            <w:r w:rsidR="00F00823" w:rsidRPr="00775D65">
              <w:rPr>
                <w:b/>
              </w:rPr>
              <w:t>olume total</w:t>
            </w:r>
            <w:r w:rsidR="00F00823" w:rsidRPr="00775D65">
              <w:t xml:space="preserve"> de 125 </w:t>
            </w:r>
            <w:proofErr w:type="spellStart"/>
            <w:r w:rsidR="00F00823" w:rsidRPr="00775D65">
              <w:t>mL</w:t>
            </w:r>
            <w:proofErr w:type="spellEnd"/>
          </w:p>
          <w:p w:rsidR="00F00823" w:rsidRPr="00775D65" w:rsidRDefault="00F00823" w:rsidP="00282736">
            <w:pPr>
              <w:pStyle w:val="Sansinterligne"/>
              <w:jc w:val="left"/>
            </w:pPr>
          </w:p>
          <w:p w:rsidR="00F00823" w:rsidRPr="00775D65" w:rsidRDefault="00F00823" w:rsidP="00282736">
            <w:pPr>
              <w:pStyle w:val="Sansinterligne"/>
              <w:jc w:val="left"/>
            </w:pPr>
            <w:r w:rsidRPr="00775D65">
              <w:t xml:space="preserve">Retourner le sac de perfusion sans l’agiter 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82736" w:rsidRPr="00775D65" w:rsidRDefault="00F00823" w:rsidP="00F00823">
            <w:pPr>
              <w:pStyle w:val="Sansinterligne"/>
              <w:jc w:val="left"/>
            </w:pPr>
            <w:r w:rsidRPr="00775D65">
              <w:t>En  60 minutes</w:t>
            </w:r>
          </w:p>
          <w:p w:rsidR="0003277D" w:rsidRPr="00775D65" w:rsidRDefault="0003277D" w:rsidP="00F00823">
            <w:pPr>
              <w:pStyle w:val="Sansinterligne"/>
              <w:jc w:val="left"/>
            </w:pPr>
          </w:p>
          <w:p w:rsidR="0003277D" w:rsidRPr="00775D65" w:rsidRDefault="0003277D" w:rsidP="00F00823">
            <w:pPr>
              <w:pStyle w:val="Sansinterligne"/>
              <w:jc w:val="left"/>
            </w:pPr>
            <w:r w:rsidRPr="00775D65">
              <w:t>Utiliser une tubulure avec filtre 0.2 microns</w:t>
            </w:r>
          </w:p>
          <w:p w:rsidR="00F00823" w:rsidRPr="00775D65" w:rsidRDefault="00F00823" w:rsidP="00F00823">
            <w:pPr>
              <w:pStyle w:val="Sansinterligne"/>
              <w:jc w:val="left"/>
            </w:pPr>
          </w:p>
          <w:p w:rsidR="0003277D" w:rsidRPr="00775D65" w:rsidRDefault="00F00823" w:rsidP="00F00823">
            <w:pPr>
              <w:pStyle w:val="Sansinterligne"/>
              <w:jc w:val="left"/>
            </w:pPr>
            <w:r w:rsidRPr="00775D65">
              <w:t xml:space="preserve">Protéger </w:t>
            </w:r>
            <w:r w:rsidR="0003277D" w:rsidRPr="00775D65">
              <w:t>de la lumière</w:t>
            </w:r>
          </w:p>
          <w:p w:rsidR="0003277D" w:rsidRPr="00775D65" w:rsidRDefault="0003277D" w:rsidP="00F00823">
            <w:pPr>
              <w:pStyle w:val="Sansinterligne"/>
              <w:jc w:val="left"/>
            </w:pPr>
          </w:p>
          <w:p w:rsidR="00F00823" w:rsidRPr="00775D65" w:rsidRDefault="0003277D" w:rsidP="00F00823">
            <w:pPr>
              <w:pStyle w:val="Sansinterligne"/>
              <w:jc w:val="left"/>
            </w:pPr>
            <w:r w:rsidRPr="00775D65">
              <w:t xml:space="preserve">Rincer la tubulure avec 30 </w:t>
            </w:r>
            <w:proofErr w:type="spellStart"/>
            <w:r w:rsidRPr="00775D65">
              <w:t>mL</w:t>
            </w:r>
            <w:proofErr w:type="spellEnd"/>
            <w:r w:rsidRPr="00775D65">
              <w:t xml:space="preserve"> de NS à la fin de la perfusion  </w:t>
            </w:r>
          </w:p>
        </w:tc>
        <w:tc>
          <w:tcPr>
            <w:tcW w:w="172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282736" w:rsidRPr="00775D65" w:rsidRDefault="0003277D" w:rsidP="0003277D">
            <w:pPr>
              <w:pStyle w:val="Sansinterligne"/>
              <w:rPr>
                <w:szCs w:val="21"/>
              </w:rPr>
            </w:pPr>
            <w:r w:rsidRPr="00775D65">
              <w:rPr>
                <w:szCs w:val="21"/>
              </w:rPr>
              <w:t>Si la solution a été conservée au frigo, laissez le médicament atteindre la température ambiante avant l’administration.</w:t>
            </w:r>
          </w:p>
        </w:tc>
      </w:tr>
      <w:tr w:rsidR="00282736" w:rsidRPr="00E9602C" w:rsidTr="00775D65">
        <w:trPr>
          <w:trHeight w:val="950"/>
        </w:trPr>
        <w:tc>
          <w:tcPr>
            <w:tcW w:w="1526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2DBDB" w:themeFill="accent2" w:themeFillTint="33"/>
          </w:tcPr>
          <w:p w:rsidR="00282736" w:rsidRPr="00775D65" w:rsidRDefault="00282736" w:rsidP="00774376">
            <w:pPr>
              <w:keepNext/>
              <w:spacing w:after="0" w:line="276" w:lineRule="auto"/>
              <w:jc w:val="left"/>
              <w:rPr>
                <w:rFonts w:cstheme="minorHAnsi"/>
                <w:szCs w:val="20"/>
              </w:rPr>
            </w:pPr>
            <w:r w:rsidRPr="00775D65">
              <w:rPr>
                <w:rFonts w:cstheme="minorHAnsi"/>
                <w:szCs w:val="20"/>
              </w:rPr>
              <w:t>Conservation :</w:t>
            </w:r>
          </w:p>
          <w:p w:rsidR="00282736" w:rsidRPr="00775D65" w:rsidRDefault="00B23126" w:rsidP="00675BDF">
            <w:pPr>
              <w:pStyle w:val="Sansinterligne"/>
              <w:jc w:val="left"/>
              <w:rPr>
                <w:szCs w:val="20"/>
              </w:rPr>
            </w:pPr>
            <w:r w:rsidRPr="00775D65">
              <w:rPr>
                <w:szCs w:val="20"/>
              </w:rPr>
              <w:t>F</w:t>
            </w:r>
            <w:r w:rsidR="00282736" w:rsidRPr="00775D65">
              <w:rPr>
                <w:szCs w:val="20"/>
              </w:rPr>
              <w:t xml:space="preserve">rigo </w:t>
            </w:r>
          </w:p>
          <w:p w:rsidR="00B23126" w:rsidRPr="00775D65" w:rsidRDefault="00B23126" w:rsidP="00675BDF">
            <w:pPr>
              <w:pStyle w:val="Sansinterligne"/>
              <w:jc w:val="left"/>
              <w:rPr>
                <w:szCs w:val="20"/>
              </w:rPr>
            </w:pPr>
            <w:r w:rsidRPr="00775D65">
              <w:rPr>
                <w:szCs w:val="20"/>
              </w:rPr>
              <w:t xml:space="preserve">Abri de la lumière </w:t>
            </w:r>
          </w:p>
          <w:p w:rsidR="00282736" w:rsidRPr="00C278A4" w:rsidRDefault="00282736" w:rsidP="00675BDF">
            <w:pPr>
              <w:pStyle w:val="Sansinterligne"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282736" w:rsidRPr="00E9602C" w:rsidRDefault="00282736" w:rsidP="00774376">
            <w:pPr>
              <w:keepNext/>
              <w:jc w:val="left"/>
            </w:pPr>
          </w:p>
        </w:tc>
        <w:tc>
          <w:tcPr>
            <w:tcW w:w="1701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82736" w:rsidRPr="00E9602C" w:rsidRDefault="00282736" w:rsidP="00774376">
            <w:pPr>
              <w:keepNext/>
              <w:jc w:val="left"/>
            </w:pPr>
          </w:p>
        </w:tc>
        <w:tc>
          <w:tcPr>
            <w:tcW w:w="2693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282736" w:rsidRPr="00E9602C" w:rsidRDefault="00282736" w:rsidP="00774376">
            <w:pPr>
              <w:keepNext/>
              <w:jc w:val="left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82736" w:rsidRPr="00E9602C" w:rsidRDefault="00282736" w:rsidP="00774376">
            <w:pPr>
              <w:keepNext/>
              <w:jc w:val="left"/>
            </w:pPr>
          </w:p>
        </w:tc>
        <w:tc>
          <w:tcPr>
            <w:tcW w:w="2126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82736" w:rsidRPr="00E9602C" w:rsidRDefault="00282736" w:rsidP="0065712B">
            <w:pPr>
              <w:keepNext/>
              <w:jc w:val="left"/>
            </w:pPr>
          </w:p>
        </w:tc>
        <w:tc>
          <w:tcPr>
            <w:tcW w:w="1728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282736" w:rsidRPr="00E9602C" w:rsidRDefault="00282736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:rsidR="00945D21" w:rsidRPr="00945D21" w:rsidRDefault="00A05B64" w:rsidP="0065712B">
      <w:pPr>
        <w:spacing w:before="240"/>
        <w:jc w:val="left"/>
        <w:rPr>
          <w:b/>
        </w:rPr>
      </w:pPr>
      <w:r w:rsidRPr="00945D21">
        <w:rPr>
          <w:b/>
        </w:rPr>
        <w:t>Stabilité</w:t>
      </w:r>
      <w:r w:rsidR="00711A64" w:rsidRPr="00945D21">
        <w:rPr>
          <w:b/>
        </w:rPr>
        <w:t xml:space="preserve"> pour une préparation à l’unité de soins</w:t>
      </w:r>
      <w:r w:rsidRPr="00945D21">
        <w:rPr>
          <w:b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Pr="00775D65" w:rsidRDefault="00306654" w:rsidP="009854CA">
            <w:pPr>
              <w:spacing w:after="0"/>
              <w:jc w:val="left"/>
            </w:pPr>
            <w:r w:rsidRPr="00775D65">
              <w:t>Fiole utilisée :</w:t>
            </w:r>
          </w:p>
        </w:tc>
        <w:sdt>
          <w:sdtPr>
            <w:id w:val="460845180"/>
            <w:placeholder>
              <w:docPart w:val="C8790A5249B4403E93B6F9521A63C88E"/>
            </w:placeholder>
          </w:sdtPr>
          <w:sdtContent>
            <w:tc>
              <w:tcPr>
                <w:tcW w:w="11650" w:type="dxa"/>
                <w:vAlign w:val="center"/>
              </w:tcPr>
              <w:p w:rsidR="00306654" w:rsidRPr="00775D65" w:rsidRDefault="00F00823" w:rsidP="00F00823">
                <w:pPr>
                  <w:spacing w:after="0"/>
                  <w:jc w:val="left"/>
                </w:pPr>
                <w:r w:rsidRPr="00775D65">
                  <w:t xml:space="preserve">Jeter toute portion inutilisée </w:t>
                </w:r>
              </w:p>
            </w:tc>
          </w:sdtContent>
        </w:sdt>
      </w:tr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Pr="00775D65" w:rsidRDefault="00F640A5" w:rsidP="0030659A">
            <w:pPr>
              <w:spacing w:after="0"/>
              <w:ind w:right="-533"/>
              <w:jc w:val="left"/>
            </w:pPr>
            <w:r w:rsidRPr="00775D65">
              <w:t>Seringue ou s</w:t>
            </w:r>
            <w:r w:rsidR="00494B0D" w:rsidRPr="00775D65">
              <w:t>ac </w:t>
            </w:r>
            <w:r w:rsidR="00306654" w:rsidRPr="00775D65">
              <w:t xml:space="preserve">: </w:t>
            </w:r>
          </w:p>
        </w:tc>
        <w:sdt>
          <w:sdtPr>
            <w:id w:val="1960842908"/>
            <w:lock w:val="sdtLocked"/>
            <w:placeholder>
              <w:docPart w:val="9E91852B543548E2843E3E8D2A4483CB"/>
            </w:placeholder>
          </w:sdtPr>
          <w:sdtContent>
            <w:tc>
              <w:tcPr>
                <w:tcW w:w="11650" w:type="dxa"/>
                <w:vAlign w:val="center"/>
              </w:tcPr>
              <w:p w:rsidR="00306654" w:rsidRPr="00775D65" w:rsidRDefault="00F00823" w:rsidP="00F00823">
                <w:pPr>
                  <w:spacing w:after="0"/>
                  <w:jc w:val="left"/>
                </w:pPr>
                <w:r w:rsidRPr="00775D65">
                  <w:t xml:space="preserve">Débuter la perfusion dans l’heure suivant la préparation.  </w:t>
                </w:r>
                <w:r w:rsidR="0003277D" w:rsidRPr="00775D65">
                  <w:t xml:space="preserve">Stabilité de 4h à la température ambiante </w:t>
                </w:r>
              </w:p>
            </w:tc>
          </w:sdtContent>
        </w:sdt>
      </w:tr>
    </w:tbl>
    <w:p w:rsidR="00C65E2C" w:rsidRDefault="00A05B64" w:rsidP="00E87A96">
      <w:pPr>
        <w:spacing w:before="240"/>
        <w:jc w:val="left"/>
        <w:rPr>
          <w:rFonts w:cstheme="minorHAnsi"/>
        </w:rPr>
      </w:pPr>
      <w:r w:rsidRPr="009178B2">
        <w:rPr>
          <w:rFonts w:cstheme="minorHAnsi"/>
          <w:b/>
        </w:rPr>
        <w:t>Compatibilité avec les solutés :</w:t>
      </w:r>
      <w:r w:rsidRPr="009178B2">
        <w:rPr>
          <w:rFonts w:cstheme="minorHAnsi"/>
        </w:rPr>
        <w:t xml:space="preserve"> </w:t>
      </w:r>
      <w:bookmarkStart w:id="0" w:name="_Toc424288453"/>
      <w:sdt>
        <w:sdtPr>
          <w:rPr>
            <w:rFonts w:cstheme="minorHAnsi"/>
          </w:rPr>
          <w:id w:val="-1968195364"/>
          <w:lock w:val="sdtLocked"/>
          <w:placeholder>
            <w:docPart w:val="047F447CC416449AA891E1C87023C491"/>
          </w:placeholder>
        </w:sdtPr>
        <w:sdtContent>
          <w:r w:rsidR="0003277D">
            <w:rPr>
              <w:rFonts w:cstheme="minorHAnsi"/>
            </w:rPr>
            <w:t>NS</w:t>
          </w:r>
        </w:sdtContent>
      </w:sdt>
    </w:p>
    <w:p w:rsidR="00675BDF" w:rsidRPr="00775D65" w:rsidRDefault="00C278A4" w:rsidP="00775D65">
      <w:pPr>
        <w:spacing w:before="240"/>
        <w:jc w:val="left"/>
        <w:rPr>
          <w:rFonts w:cstheme="minorHAnsi"/>
        </w:rPr>
      </w:pPr>
      <w:r>
        <w:rPr>
          <w:rFonts w:cstheme="minorHAnsi"/>
          <w:b/>
        </w:rPr>
        <w:t>Incompatibilité</w:t>
      </w:r>
      <w:r w:rsidR="00945D21" w:rsidRPr="00945D21">
        <w:rPr>
          <w:rFonts w:cstheme="minorHAnsi"/>
          <w:b/>
        </w:rPr>
        <w:t xml:space="preserve"> : </w:t>
      </w:r>
      <w:sdt>
        <w:sdtPr>
          <w:rPr>
            <w:rFonts w:cstheme="minorHAnsi"/>
          </w:rPr>
          <w:id w:val="189185613"/>
          <w:lock w:val="sdtLocked"/>
          <w:placeholder>
            <w:docPart w:val="754E35D25BB244F2940EA030E0E3BA33"/>
          </w:placeholder>
        </w:sdtPr>
        <w:sdtContent>
          <w:r w:rsidR="0003277D">
            <w:rPr>
              <w:rFonts w:cstheme="minorHAnsi"/>
            </w:rPr>
            <w:t xml:space="preserve">Ne pas administrer avec d’autres médicaments 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0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lastRenderedPageBreak/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:rsidR="0001492A" w:rsidRPr="009854CA" w:rsidRDefault="00774376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:rsidTr="009854CA">
        <w:trPr>
          <w:trHeight w:val="1835"/>
        </w:trPr>
        <w:tc>
          <w:tcPr>
            <w:tcW w:w="6550" w:type="dxa"/>
          </w:tcPr>
          <w:p w:rsidR="009C166B" w:rsidRPr="00B23126" w:rsidRDefault="0003277D" w:rsidP="0003277D">
            <w:pPr>
              <w:pStyle w:val="Sansinterligne"/>
              <w:rPr>
                <w:b/>
                <w:u w:val="single"/>
              </w:rPr>
            </w:pPr>
            <w:r w:rsidRPr="00B23126">
              <w:rPr>
                <w:b/>
                <w:u w:val="single"/>
              </w:rPr>
              <w:t>Précautions :</w:t>
            </w:r>
          </w:p>
          <w:p w:rsidR="0003277D" w:rsidRDefault="0003277D" w:rsidP="0003277D">
            <w:pPr>
              <w:pStyle w:val="Sansinterligne"/>
            </w:pPr>
            <w:r>
              <w:t xml:space="preserve">Le médicament peut être administré jusqu’à 3 jours après le moment prévu </w:t>
            </w:r>
          </w:p>
          <w:p w:rsidR="0003277D" w:rsidRDefault="0003277D" w:rsidP="0003277D">
            <w:pPr>
              <w:pStyle w:val="Sansinterligne"/>
            </w:pPr>
            <w:r>
              <w:t>Reporter l’administration du médicament chez les patients présentant une infection active, jusqu’à la résolution de celle-ci</w:t>
            </w:r>
          </w:p>
          <w:p w:rsidR="00775D65" w:rsidRDefault="00775D65" w:rsidP="0003277D">
            <w:pPr>
              <w:pStyle w:val="Sansinterligne"/>
            </w:pPr>
            <w:r>
              <w:t>Vaccination </w:t>
            </w:r>
          </w:p>
          <w:p w:rsidR="0003277D" w:rsidRDefault="0003277D" w:rsidP="00775D65">
            <w:pPr>
              <w:pStyle w:val="Sansinterligne"/>
              <w:ind w:left="284"/>
            </w:pPr>
            <w:r>
              <w:t>Éviter les vaccins vivants ou vivants atténués</w:t>
            </w:r>
          </w:p>
          <w:p w:rsidR="0003277D" w:rsidRDefault="00B23126" w:rsidP="00775D65">
            <w:pPr>
              <w:pStyle w:val="Sansinterligne"/>
              <w:ind w:left="284"/>
            </w:pPr>
            <w:r>
              <w:t xml:space="preserve">Pour l’administration des autres vaccins, elle doit avoir lieu au moins 2 semaines après la dernière perfusion d’un cycle de traitement et 4 semaines avant le début du cycle suivant </w:t>
            </w:r>
          </w:p>
          <w:p w:rsidR="0003277D" w:rsidRDefault="0003277D" w:rsidP="0003277D">
            <w:pPr>
              <w:pStyle w:val="Sansinterligne"/>
            </w:pPr>
          </w:p>
          <w:p w:rsidR="0003277D" w:rsidRPr="00775D65" w:rsidRDefault="0003277D" w:rsidP="0003277D">
            <w:pPr>
              <w:pStyle w:val="Sansinterligne"/>
              <w:rPr>
                <w:b/>
                <w:u w:val="single"/>
              </w:rPr>
            </w:pPr>
            <w:r w:rsidRPr="00775D65">
              <w:rPr>
                <w:b/>
                <w:u w:val="single"/>
              </w:rPr>
              <w:t>Monitorage :</w:t>
            </w:r>
          </w:p>
          <w:p w:rsidR="0003277D" w:rsidRDefault="0003277D" w:rsidP="0003277D">
            <w:pPr>
              <w:pStyle w:val="Sansinterligne"/>
            </w:pPr>
            <w:r>
              <w:t xml:space="preserve">La patient doit être surveillé pendant la perfusion et jusqu’au 60 minutes après la fin de la perfusion </w:t>
            </w:r>
          </w:p>
          <w:p w:rsidR="0003277D" w:rsidRDefault="0003277D" w:rsidP="0003277D">
            <w:pPr>
              <w:pStyle w:val="Sansinterligne"/>
            </w:pPr>
            <w:r>
              <w:t>Si apparition de réaction de perfusion :</w:t>
            </w:r>
          </w:p>
          <w:p w:rsidR="009C166B" w:rsidRPr="003473DD" w:rsidRDefault="0003277D" w:rsidP="00775D65">
            <w:pPr>
              <w:pStyle w:val="Sansinterligne"/>
              <w:ind w:left="284"/>
            </w:pPr>
            <w:r>
              <w:t xml:space="preserve">Interrompre la perfusion et mettre en place des mesures de soutien. Après disparition de la réaction, l’administration peut reprendre à un début plus lent, selon la sévérité de la réaction observée. </w:t>
            </w:r>
            <w:bookmarkStart w:id="1" w:name="_GoBack"/>
            <w:bookmarkEnd w:id="1"/>
          </w:p>
        </w:tc>
        <w:tc>
          <w:tcPr>
            <w:tcW w:w="6550" w:type="dxa"/>
          </w:tcPr>
          <w:p w:rsidR="00775D65" w:rsidRDefault="00775D65" w:rsidP="00B23126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</w:pPr>
          </w:p>
          <w:p w:rsidR="00B23126" w:rsidRDefault="00B23126" w:rsidP="00B23126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</w:pPr>
            <w:r>
              <w:t xml:space="preserve">Réactions </w:t>
            </w:r>
            <w:r w:rsidR="00775D65">
              <w:t>de perfusion :</w:t>
            </w:r>
          </w:p>
          <w:p w:rsidR="00B23126" w:rsidRDefault="00B23126" w:rsidP="00775D65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732" w:hanging="448"/>
            </w:pPr>
            <w:r>
              <w:t>Éruptions cutanées, prurit, anaphylaxie</w:t>
            </w:r>
            <w:r>
              <w:t xml:space="preserve"> </w:t>
            </w:r>
          </w:p>
          <w:p w:rsidR="0003277D" w:rsidRDefault="0003277D" w:rsidP="00B23126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</w:pPr>
            <w:r>
              <w:t xml:space="preserve">Augmentation du risque d’infections </w:t>
            </w:r>
          </w:p>
          <w:p w:rsidR="00775D65" w:rsidRDefault="00775D65" w:rsidP="00775D65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732" w:hanging="448"/>
            </w:pPr>
            <w:r>
              <w:t>Infections respiratoires</w:t>
            </w:r>
          </w:p>
          <w:p w:rsidR="0003277D" w:rsidRDefault="00775D65" w:rsidP="00775D65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732" w:hanging="448"/>
            </w:pPr>
            <w:r>
              <w:t xml:space="preserve">Infections </w:t>
            </w:r>
            <w:r w:rsidR="0003277D">
              <w:t>urinaires</w:t>
            </w:r>
          </w:p>
          <w:p w:rsidR="00B23126" w:rsidRDefault="00B23126" w:rsidP="0094014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</w:pPr>
            <w:r>
              <w:t xml:space="preserve">Maux de tête </w:t>
            </w:r>
          </w:p>
          <w:p w:rsidR="00B23126" w:rsidRDefault="00B23126" w:rsidP="0094014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</w:pPr>
            <w:r>
              <w:t>Myalgies</w:t>
            </w:r>
          </w:p>
          <w:p w:rsidR="00B23126" w:rsidRPr="00664B42" w:rsidRDefault="00B23126" w:rsidP="00940148">
            <w:pPr>
              <w:tabs>
                <w:tab w:val="left" w:pos="450"/>
                <w:tab w:val="left" w:pos="540"/>
                <w:tab w:val="left" w:pos="1620"/>
              </w:tabs>
              <w:spacing w:before="0" w:after="0"/>
              <w:ind w:left="450" w:hanging="450"/>
            </w:pPr>
          </w:p>
        </w:tc>
      </w:tr>
    </w:tbl>
    <w:p w:rsidR="00D1037D" w:rsidRDefault="00D1037D" w:rsidP="009854CA">
      <w:pPr>
        <w:spacing w:before="120"/>
        <w:rPr>
          <w:rFonts w:cstheme="minorHAnsi"/>
        </w:rPr>
      </w:pPr>
    </w:p>
    <w:p w:rsidR="00875AFE" w:rsidRDefault="00875AFE" w:rsidP="009854CA">
      <w:pPr>
        <w:spacing w:before="120"/>
        <w:rPr>
          <w:rFonts w:cstheme="minorHAnsi"/>
        </w:rPr>
      </w:pPr>
    </w:p>
    <w:p w:rsidR="00875AFE" w:rsidRDefault="00875AFE" w:rsidP="00875AFE">
      <w:pPr>
        <w:rPr>
          <w:rFonts w:cstheme="minorHAnsi"/>
        </w:rPr>
      </w:pPr>
    </w:p>
    <w:p w:rsidR="00D1037D" w:rsidRPr="00875AFE" w:rsidRDefault="00875AFE" w:rsidP="00875AFE">
      <w:pPr>
        <w:tabs>
          <w:tab w:val="left" w:pos="3796"/>
        </w:tabs>
        <w:rPr>
          <w:rFonts w:cstheme="minorHAnsi"/>
        </w:rPr>
      </w:pPr>
      <w:r>
        <w:rPr>
          <w:rFonts w:cstheme="minorHAnsi"/>
        </w:rPr>
        <w:tab/>
      </w:r>
    </w:p>
    <w:sectPr w:rsidR="00D1037D" w:rsidRPr="00875AFE" w:rsidSect="006347C8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77D" w:rsidRDefault="0003277D" w:rsidP="008F3D94">
      <w:pPr>
        <w:spacing w:after="0" w:line="240" w:lineRule="auto"/>
      </w:pPr>
      <w:r>
        <w:separator/>
      </w:r>
    </w:p>
  </w:endnote>
  <w:endnote w:type="continuationSeparator" w:id="0">
    <w:p w:rsidR="0003277D" w:rsidRDefault="0003277D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7D" w:rsidRPr="006D1CD5" w:rsidRDefault="0003277D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proofErr w:type="spellStart"/>
    <w:r w:rsidRPr="00174E60">
      <w:rPr>
        <w:color w:val="595959" w:themeColor="text1" w:themeTint="A6"/>
      </w:rPr>
      <w:t>Rév</w:t>
    </w:r>
    <w:proofErr w:type="spellEnd"/>
    <w:r w:rsidRPr="00174E60">
      <w:rPr>
        <w:color w:val="595959" w:themeColor="text1" w:themeTint="A6"/>
      </w:rPr>
      <w:t xml:space="preserve">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>
      <w:rPr>
        <w:b/>
        <w:noProof/>
      </w:rPr>
      <w:t>2025-12-03 14:54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682C73" w:rsidRPr="00682C73">
      <w:rPr>
        <w:b/>
        <w:noProof/>
        <w:lang w:val="fr-FR"/>
      </w:rPr>
      <w:t>2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682C73" w:rsidRPr="00682C73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77D" w:rsidRDefault="0003277D" w:rsidP="008F3D94">
      <w:pPr>
        <w:spacing w:after="0" w:line="240" w:lineRule="auto"/>
      </w:pPr>
      <w:r>
        <w:separator/>
      </w:r>
    </w:p>
  </w:footnote>
  <w:footnote w:type="continuationSeparator" w:id="0">
    <w:p w:rsidR="0003277D" w:rsidRDefault="0003277D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7D" w:rsidRDefault="0003277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6" o:spid="_x0000_s2055" type="#_x0000_t136" style="position:absolute;left:0;text-align:left;margin-left:0;margin-top:0;width:151.8pt;height:43.8pt;z-index:-251643904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9039" w:type="dxa"/>
      <w:tblLook w:val="04A0" w:firstRow="1" w:lastRow="0" w:firstColumn="1" w:lastColumn="0" w:noHBand="0" w:noVBand="1"/>
    </w:tblPr>
    <w:tblGrid>
      <w:gridCol w:w="3950"/>
    </w:tblGrid>
    <w:tr w:rsidR="0003277D" w:rsidRPr="00A426B2" w:rsidTr="00775D65">
      <w:tc>
        <w:tcPr>
          <w:tcW w:w="3950" w:type="dxa"/>
        </w:tcPr>
        <w:p w:rsidR="0003277D" w:rsidRDefault="0003277D" w:rsidP="00A426B2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4A7AD7CD" wp14:editId="65B5A059">
                    <wp:simplePos x="0" y="0"/>
                    <wp:positionH relativeFrom="column">
                      <wp:posOffset>-6058478</wp:posOffset>
                    </wp:positionH>
                    <wp:positionV relativeFrom="paragraph">
                      <wp:posOffset>-55880</wp:posOffset>
                    </wp:positionV>
                    <wp:extent cx="1617980" cy="529590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7980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03277D" w:rsidRPr="00D0070B" w:rsidRDefault="0003277D" w:rsidP="004E55CA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477.05pt;margin-top:-4.4pt;width:127.4pt;height:4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" filled="f" stroked="f">
                    <v:textbox>
                      <w:txbxContent>
                        <w:p w:rsidR="0003277D" w:rsidRPr="00D0070B" w:rsidRDefault="0003277D" w:rsidP="004E55CA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68480" behindDoc="0" locked="0" layoutInCell="1" allowOverlap="1" wp14:anchorId="03D55E1D" wp14:editId="2B88219A">
                <wp:simplePos x="0" y="0"/>
                <wp:positionH relativeFrom="column">
                  <wp:posOffset>-255905</wp:posOffset>
                </wp:positionH>
                <wp:positionV relativeFrom="paragraph">
                  <wp:posOffset>-132080</wp:posOffset>
                </wp:positionV>
                <wp:extent cx="350520" cy="351155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03277D" w:rsidRPr="00A426B2" w:rsidRDefault="0003277D" w:rsidP="00A426B2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>Aucune</w:t>
          </w:r>
        </w:p>
      </w:tc>
    </w:tr>
  </w:tbl>
  <w:p w:rsidR="0003277D" w:rsidRDefault="0003277D" w:rsidP="006D1CD5">
    <w:pPr>
      <w:spacing w:before="0" w:after="0"/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9347"/>
      <w:gridCol w:w="3753"/>
    </w:tblGrid>
    <w:tr w:rsidR="0003277D" w:rsidTr="0003277D">
      <w:trPr>
        <w:trHeight w:val="454"/>
      </w:trPr>
      <w:sdt>
        <w:sdtPr>
          <w:rPr>
            <w:rStyle w:val="Style7"/>
          </w:rPr>
          <w:alias w:val="Nom du médicament"/>
          <w:tag w:val="Nom du médicament"/>
          <w:id w:val="-1865515121"/>
        </w:sdtPr>
        <w:sdtContent>
          <w:tc>
            <w:tcPr>
              <w:tcW w:w="9347" w:type="dxa"/>
              <w:tcBorders>
                <w:top w:val="nil"/>
                <w:left w:val="nil"/>
                <w:bottom w:val="nil"/>
                <w:right w:val="nil"/>
              </w:tcBorders>
              <w:vAlign w:val="center"/>
            </w:tcPr>
            <w:p w:rsidR="0003277D" w:rsidRPr="00875AFE" w:rsidRDefault="0003277D" w:rsidP="00F00823">
              <w:pPr>
                <w:spacing w:after="0"/>
                <w:jc w:val="left"/>
                <w:rPr>
                  <w:b/>
                  <w:color w:val="339966"/>
                  <w:sz w:val="32"/>
                </w:rPr>
              </w:pPr>
              <w:proofErr w:type="spellStart"/>
              <w:r>
                <w:rPr>
                  <w:rStyle w:val="Style7"/>
                </w:rPr>
                <w:t>Efgartigimod</w:t>
              </w:r>
              <w:proofErr w:type="spellEnd"/>
              <w:r>
                <w:rPr>
                  <w:rStyle w:val="Style7"/>
                </w:rPr>
                <w:t xml:space="preserve"> alfa (</w:t>
              </w:r>
              <w:proofErr w:type="spellStart"/>
              <w:r>
                <w:rPr>
                  <w:rStyle w:val="Style7"/>
                </w:rPr>
                <w:t>Vyvgart</w:t>
              </w:r>
              <w:r w:rsidRPr="00F00823">
                <w:rPr>
                  <w:rStyle w:val="Style7"/>
                  <w:vertAlign w:val="superscript"/>
                </w:rPr>
                <w:t>MD</w:t>
              </w:r>
              <w:proofErr w:type="spellEnd"/>
              <w:r>
                <w:rPr>
                  <w:rStyle w:val="Style7"/>
                </w:rPr>
                <w:t>)</w:t>
              </w:r>
            </w:p>
          </w:tc>
        </w:sdtContent>
      </w:sdt>
      <w:tc>
        <w:tcPr>
          <w:tcW w:w="37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3277D" w:rsidRPr="00701F50" w:rsidRDefault="0003277D" w:rsidP="0003277D">
          <w:pPr>
            <w:spacing w:after="0"/>
            <w:jc w:val="left"/>
            <w:rPr>
              <w:b/>
              <w:sz w:val="24"/>
            </w:rPr>
          </w:pP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78720" behindDoc="0" locked="1" layoutInCell="1" allowOverlap="1" wp14:anchorId="207DEB16" wp14:editId="19B0722D">
                <wp:simplePos x="0" y="0"/>
                <wp:positionH relativeFrom="column">
                  <wp:posOffset>1737360</wp:posOffset>
                </wp:positionH>
                <wp:positionV relativeFrom="paragraph">
                  <wp:posOffset>-555625</wp:posOffset>
                </wp:positionV>
                <wp:extent cx="753110" cy="739775"/>
                <wp:effectExtent l="57150" t="95250" r="294640" b="288925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3277D" w:rsidRPr="00891BD4" w:rsidRDefault="0003277D" w:rsidP="006D1CD5">
    <w:pPr>
      <w:spacing w:before="0" w:after="0"/>
      <w:rPr>
        <w:sz w:val="2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437"/>
      <w:gridCol w:w="5050"/>
      <w:gridCol w:w="284"/>
      <w:gridCol w:w="2268"/>
      <w:gridCol w:w="4061"/>
    </w:tblGrid>
    <w:tr w:rsidR="0003277D" w:rsidRPr="00991F8D" w:rsidTr="002A1974">
      <w:trPr>
        <w:trHeight w:val="454"/>
      </w:trPr>
      <w:tc>
        <w:tcPr>
          <w:tcW w:w="1437" w:type="dxa"/>
          <w:tcBorders>
            <w:top w:val="nil"/>
            <w:left w:val="nil"/>
            <w:bottom w:val="nil"/>
            <w:right w:val="nil"/>
          </w:tcBorders>
        </w:tcPr>
        <w:p w:rsidR="0003277D" w:rsidRPr="00991F8D" w:rsidRDefault="0003277D" w:rsidP="006347C8">
          <w:pPr>
            <w:spacing w:before="120" w:after="0"/>
            <w:jc w:val="left"/>
            <w:rPr>
              <w:color w:val="00B050"/>
            </w:rPr>
          </w:pPr>
          <w:r w:rsidRPr="00991F8D">
            <w:rPr>
              <w:b/>
            </w:rPr>
            <w:t>INDICATION</w:t>
          </w:r>
          <w:r w:rsidRPr="00991F8D">
            <w:t> :</w:t>
          </w:r>
        </w:p>
      </w:tc>
      <w:tc>
        <w:tcPr>
          <w:tcW w:w="505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3277D" w:rsidRPr="002A1974" w:rsidRDefault="0003277D" w:rsidP="0003277D">
          <w:pPr>
            <w:spacing w:before="120" w:after="0"/>
            <w:jc w:val="left"/>
            <w:rPr>
              <w:rFonts w:cstheme="minorHAnsi"/>
            </w:rPr>
          </w:pPr>
          <w:r>
            <w:rPr>
              <w:rFonts w:cstheme="minorHAnsi"/>
            </w:rPr>
            <w:t xml:space="preserve">Myasthénie grave généralisée 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3277D" w:rsidRPr="002A1974" w:rsidRDefault="0003277D" w:rsidP="0003277D">
          <w:pPr>
            <w:spacing w:before="120" w:after="0"/>
            <w:jc w:val="left"/>
            <w:rPr>
              <w:rFonts w:cstheme="minorHAnsi"/>
              <w:b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03277D" w:rsidRPr="002A1974" w:rsidRDefault="0003277D" w:rsidP="006347C8">
          <w:pPr>
            <w:spacing w:before="120" w:after="0"/>
            <w:jc w:val="left"/>
            <w:rPr>
              <w:rFonts w:cstheme="minorHAnsi"/>
              <w:b/>
              <w:color w:val="00B050"/>
            </w:rPr>
          </w:pPr>
          <w:r w:rsidRPr="002A1974">
            <w:rPr>
              <w:rFonts w:cstheme="minorHAnsi"/>
              <w:b/>
            </w:rPr>
            <w:t>Classe thérapeutique</w:t>
          </w:r>
          <w:r w:rsidRPr="002A1974">
            <w:rPr>
              <w:rFonts w:cstheme="minorHAnsi"/>
            </w:rPr>
            <w:t> :</w:t>
          </w:r>
        </w:p>
      </w:tc>
      <w:tc>
        <w:tcPr>
          <w:tcW w:w="406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3277D" w:rsidRPr="002A1974" w:rsidRDefault="0003277D" w:rsidP="0003277D">
          <w:pPr>
            <w:spacing w:before="120" w:after="0"/>
            <w:jc w:val="left"/>
            <w:rPr>
              <w:rFonts w:cstheme="minorHAnsi"/>
            </w:rPr>
          </w:pPr>
          <w:r>
            <w:rPr>
              <w:rFonts w:cstheme="minorHAnsi"/>
            </w:rPr>
            <w:t xml:space="preserve">Antagoniste du récepteur </w:t>
          </w:r>
          <w:proofErr w:type="spellStart"/>
          <w:r>
            <w:rPr>
              <w:rFonts w:cstheme="minorHAnsi"/>
            </w:rPr>
            <w:t>fc</w:t>
          </w:r>
          <w:proofErr w:type="spellEnd"/>
          <w:r>
            <w:rPr>
              <w:rFonts w:cstheme="minorHAnsi"/>
            </w:rPr>
            <w:t xml:space="preserve"> néonatal</w:t>
          </w:r>
        </w:p>
      </w:tc>
    </w:tr>
  </w:tbl>
  <w:p w:rsidR="0003277D" w:rsidRPr="00891BD4" w:rsidRDefault="0003277D" w:rsidP="006D1CD5">
    <w:pPr>
      <w:spacing w:before="0" w:after="0"/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77D" w:rsidRDefault="0003277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5" o:spid="_x0000_s2054" type="#_x0000_t136" style="position:absolute;left:0;text-align:left;margin-left:0;margin-top:0;width:151.8pt;height:43.8pt;z-index:-251645952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pStyle w:val="Paragraphedelist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E335F83"/>
    <w:multiLevelType w:val="hybridMultilevel"/>
    <w:tmpl w:val="D33674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72FC063C"/>
    <w:multiLevelType w:val="hybridMultilevel"/>
    <w:tmpl w:val="5E94DE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2"/>
  </w:num>
  <w:num w:numId="3">
    <w:abstractNumId w:val="78"/>
  </w:num>
  <w:num w:numId="4">
    <w:abstractNumId w:val="69"/>
  </w:num>
  <w:num w:numId="5">
    <w:abstractNumId w:val="21"/>
  </w:num>
  <w:num w:numId="6">
    <w:abstractNumId w:val="64"/>
  </w:num>
  <w:num w:numId="7">
    <w:abstractNumId w:val="58"/>
  </w:num>
  <w:num w:numId="8">
    <w:abstractNumId w:val="81"/>
  </w:num>
  <w:num w:numId="9">
    <w:abstractNumId w:val="72"/>
  </w:num>
  <w:num w:numId="10">
    <w:abstractNumId w:val="23"/>
  </w:num>
  <w:num w:numId="11">
    <w:abstractNumId w:val="2"/>
  </w:num>
  <w:num w:numId="12">
    <w:abstractNumId w:val="33"/>
  </w:num>
  <w:num w:numId="13">
    <w:abstractNumId w:val="70"/>
  </w:num>
  <w:num w:numId="14">
    <w:abstractNumId w:val="54"/>
  </w:num>
  <w:num w:numId="15">
    <w:abstractNumId w:val="45"/>
  </w:num>
  <w:num w:numId="16">
    <w:abstractNumId w:val="10"/>
  </w:num>
  <w:num w:numId="17">
    <w:abstractNumId w:val="66"/>
  </w:num>
  <w:num w:numId="18">
    <w:abstractNumId w:val="43"/>
  </w:num>
  <w:num w:numId="19">
    <w:abstractNumId w:val="17"/>
  </w:num>
  <w:num w:numId="20">
    <w:abstractNumId w:val="31"/>
  </w:num>
  <w:num w:numId="21">
    <w:abstractNumId w:val="15"/>
  </w:num>
  <w:num w:numId="22">
    <w:abstractNumId w:val="25"/>
  </w:num>
  <w:num w:numId="23">
    <w:abstractNumId w:val="41"/>
  </w:num>
  <w:num w:numId="24">
    <w:abstractNumId w:val="48"/>
  </w:num>
  <w:num w:numId="25">
    <w:abstractNumId w:val="28"/>
  </w:num>
  <w:num w:numId="26">
    <w:abstractNumId w:val="74"/>
  </w:num>
  <w:num w:numId="27">
    <w:abstractNumId w:val="40"/>
  </w:num>
  <w:num w:numId="28">
    <w:abstractNumId w:val="29"/>
  </w:num>
  <w:num w:numId="29">
    <w:abstractNumId w:val="12"/>
  </w:num>
  <w:num w:numId="30">
    <w:abstractNumId w:val="46"/>
  </w:num>
  <w:num w:numId="31">
    <w:abstractNumId w:val="65"/>
  </w:num>
  <w:num w:numId="32">
    <w:abstractNumId w:val="30"/>
  </w:num>
  <w:num w:numId="33">
    <w:abstractNumId w:val="53"/>
  </w:num>
  <w:num w:numId="34">
    <w:abstractNumId w:val="1"/>
  </w:num>
  <w:num w:numId="35">
    <w:abstractNumId w:val="27"/>
  </w:num>
  <w:num w:numId="36">
    <w:abstractNumId w:val="68"/>
  </w:num>
  <w:num w:numId="37">
    <w:abstractNumId w:val="79"/>
  </w:num>
  <w:num w:numId="38">
    <w:abstractNumId w:val="71"/>
  </w:num>
  <w:num w:numId="39">
    <w:abstractNumId w:val="0"/>
  </w:num>
  <w:num w:numId="40">
    <w:abstractNumId w:val="32"/>
  </w:num>
  <w:num w:numId="41">
    <w:abstractNumId w:val="35"/>
  </w:num>
  <w:num w:numId="42">
    <w:abstractNumId w:val="24"/>
  </w:num>
  <w:num w:numId="43">
    <w:abstractNumId w:val="39"/>
  </w:num>
  <w:num w:numId="44">
    <w:abstractNumId w:val="47"/>
  </w:num>
  <w:num w:numId="45">
    <w:abstractNumId w:val="61"/>
  </w:num>
  <w:num w:numId="46">
    <w:abstractNumId w:val="86"/>
  </w:num>
  <w:num w:numId="47">
    <w:abstractNumId w:val="82"/>
  </w:num>
  <w:num w:numId="48">
    <w:abstractNumId w:val="37"/>
  </w:num>
  <w:num w:numId="49">
    <w:abstractNumId w:val="75"/>
  </w:num>
  <w:num w:numId="50">
    <w:abstractNumId w:val="16"/>
  </w:num>
  <w:num w:numId="51">
    <w:abstractNumId w:val="14"/>
  </w:num>
  <w:num w:numId="52">
    <w:abstractNumId w:val="44"/>
  </w:num>
  <w:num w:numId="53">
    <w:abstractNumId w:val="49"/>
  </w:num>
  <w:num w:numId="54">
    <w:abstractNumId w:val="76"/>
  </w:num>
  <w:num w:numId="55">
    <w:abstractNumId w:val="52"/>
  </w:num>
  <w:num w:numId="56">
    <w:abstractNumId w:val="7"/>
  </w:num>
  <w:num w:numId="57">
    <w:abstractNumId w:val="88"/>
  </w:num>
  <w:num w:numId="58">
    <w:abstractNumId w:val="22"/>
  </w:num>
  <w:num w:numId="59">
    <w:abstractNumId w:val="38"/>
  </w:num>
  <w:num w:numId="60">
    <w:abstractNumId w:val="63"/>
  </w:num>
  <w:num w:numId="61">
    <w:abstractNumId w:val="62"/>
  </w:num>
  <w:num w:numId="62">
    <w:abstractNumId w:val="34"/>
  </w:num>
  <w:num w:numId="63">
    <w:abstractNumId w:val="55"/>
  </w:num>
  <w:num w:numId="64">
    <w:abstractNumId w:val="73"/>
  </w:num>
  <w:num w:numId="65">
    <w:abstractNumId w:val="4"/>
  </w:num>
  <w:num w:numId="66">
    <w:abstractNumId w:val="90"/>
  </w:num>
  <w:num w:numId="67">
    <w:abstractNumId w:val="56"/>
  </w:num>
  <w:num w:numId="68">
    <w:abstractNumId w:val="9"/>
  </w:num>
  <w:num w:numId="69">
    <w:abstractNumId w:val="60"/>
  </w:num>
  <w:num w:numId="70">
    <w:abstractNumId w:val="20"/>
  </w:num>
  <w:num w:numId="71">
    <w:abstractNumId w:val="36"/>
  </w:num>
  <w:num w:numId="72">
    <w:abstractNumId w:val="67"/>
  </w:num>
  <w:num w:numId="73">
    <w:abstractNumId w:val="85"/>
  </w:num>
  <w:num w:numId="74">
    <w:abstractNumId w:val="8"/>
  </w:num>
  <w:num w:numId="75">
    <w:abstractNumId w:val="18"/>
  </w:num>
  <w:num w:numId="76">
    <w:abstractNumId w:val="11"/>
  </w:num>
  <w:num w:numId="77">
    <w:abstractNumId w:val="80"/>
  </w:num>
  <w:num w:numId="78">
    <w:abstractNumId w:val="26"/>
  </w:num>
  <w:num w:numId="79">
    <w:abstractNumId w:val="77"/>
  </w:num>
  <w:num w:numId="80">
    <w:abstractNumId w:val="51"/>
  </w:num>
  <w:num w:numId="81">
    <w:abstractNumId w:val="50"/>
  </w:num>
  <w:num w:numId="82">
    <w:abstractNumId w:val="83"/>
  </w:num>
  <w:num w:numId="83">
    <w:abstractNumId w:val="3"/>
  </w:num>
  <w:num w:numId="84">
    <w:abstractNumId w:val="57"/>
  </w:num>
  <w:num w:numId="85">
    <w:abstractNumId w:val="13"/>
  </w:num>
  <w:num w:numId="86">
    <w:abstractNumId w:val="5"/>
  </w:num>
  <w:num w:numId="87">
    <w:abstractNumId w:val="19"/>
  </w:num>
  <w:num w:numId="88">
    <w:abstractNumId w:val="89"/>
  </w:num>
  <w:num w:numId="89">
    <w:abstractNumId w:val="6"/>
  </w:num>
  <w:num w:numId="90">
    <w:abstractNumId w:val="87"/>
  </w:num>
  <w:num w:numId="91">
    <w:abstractNumId w:val="8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0F"/>
    <w:rsid w:val="00001465"/>
    <w:rsid w:val="00001DBE"/>
    <w:rsid w:val="00002AF7"/>
    <w:rsid w:val="00002E89"/>
    <w:rsid w:val="00004930"/>
    <w:rsid w:val="00005035"/>
    <w:rsid w:val="00012765"/>
    <w:rsid w:val="00013F91"/>
    <w:rsid w:val="0001492A"/>
    <w:rsid w:val="00027FE3"/>
    <w:rsid w:val="000323DE"/>
    <w:rsid w:val="0003277D"/>
    <w:rsid w:val="0003383A"/>
    <w:rsid w:val="00035D0E"/>
    <w:rsid w:val="0004325D"/>
    <w:rsid w:val="00047020"/>
    <w:rsid w:val="00047224"/>
    <w:rsid w:val="00053543"/>
    <w:rsid w:val="0005456C"/>
    <w:rsid w:val="00061EC9"/>
    <w:rsid w:val="00073B88"/>
    <w:rsid w:val="0007617C"/>
    <w:rsid w:val="00076E49"/>
    <w:rsid w:val="000828AA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134D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1ACC"/>
    <w:rsid w:val="001824AA"/>
    <w:rsid w:val="00184479"/>
    <w:rsid w:val="00185CBE"/>
    <w:rsid w:val="00192F56"/>
    <w:rsid w:val="001A0901"/>
    <w:rsid w:val="001A2073"/>
    <w:rsid w:val="001B23CE"/>
    <w:rsid w:val="001B2687"/>
    <w:rsid w:val="001C002E"/>
    <w:rsid w:val="001D1ED8"/>
    <w:rsid w:val="001E08C7"/>
    <w:rsid w:val="001E142A"/>
    <w:rsid w:val="001F4F7F"/>
    <w:rsid w:val="001F6D3C"/>
    <w:rsid w:val="00200224"/>
    <w:rsid w:val="0021176A"/>
    <w:rsid w:val="00211974"/>
    <w:rsid w:val="002239D5"/>
    <w:rsid w:val="002248BF"/>
    <w:rsid w:val="00231703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2736"/>
    <w:rsid w:val="002847D1"/>
    <w:rsid w:val="002856EE"/>
    <w:rsid w:val="00285853"/>
    <w:rsid w:val="0028626C"/>
    <w:rsid w:val="00287436"/>
    <w:rsid w:val="002875B7"/>
    <w:rsid w:val="002A068B"/>
    <w:rsid w:val="002A14F4"/>
    <w:rsid w:val="002A1787"/>
    <w:rsid w:val="002A1974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E239C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473DD"/>
    <w:rsid w:val="00352774"/>
    <w:rsid w:val="00363019"/>
    <w:rsid w:val="00365F0A"/>
    <w:rsid w:val="00373ABD"/>
    <w:rsid w:val="0037668F"/>
    <w:rsid w:val="00382021"/>
    <w:rsid w:val="00383383"/>
    <w:rsid w:val="00383A70"/>
    <w:rsid w:val="00384B84"/>
    <w:rsid w:val="0038668B"/>
    <w:rsid w:val="00392319"/>
    <w:rsid w:val="0039309E"/>
    <w:rsid w:val="00397834"/>
    <w:rsid w:val="003A1580"/>
    <w:rsid w:val="003B08D5"/>
    <w:rsid w:val="003B6330"/>
    <w:rsid w:val="003C0CFC"/>
    <w:rsid w:val="003C5531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1A0F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4B0D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55CA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E154E"/>
    <w:rsid w:val="005E47A3"/>
    <w:rsid w:val="006008D6"/>
    <w:rsid w:val="006042A3"/>
    <w:rsid w:val="0060668F"/>
    <w:rsid w:val="0061175F"/>
    <w:rsid w:val="00611B53"/>
    <w:rsid w:val="00617FAD"/>
    <w:rsid w:val="0063229D"/>
    <w:rsid w:val="00633C39"/>
    <w:rsid w:val="006347C8"/>
    <w:rsid w:val="00637B17"/>
    <w:rsid w:val="00640444"/>
    <w:rsid w:val="00642F4D"/>
    <w:rsid w:val="00644A0D"/>
    <w:rsid w:val="00652ED5"/>
    <w:rsid w:val="00653F67"/>
    <w:rsid w:val="006569BD"/>
    <w:rsid w:val="0065712B"/>
    <w:rsid w:val="00660F9D"/>
    <w:rsid w:val="00664B42"/>
    <w:rsid w:val="00667E00"/>
    <w:rsid w:val="0067206D"/>
    <w:rsid w:val="00675BDF"/>
    <w:rsid w:val="006761BB"/>
    <w:rsid w:val="00682C73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5140"/>
    <w:rsid w:val="00725FA2"/>
    <w:rsid w:val="0073400D"/>
    <w:rsid w:val="00734225"/>
    <w:rsid w:val="0073622F"/>
    <w:rsid w:val="0074688A"/>
    <w:rsid w:val="007615B3"/>
    <w:rsid w:val="00762418"/>
    <w:rsid w:val="007638CC"/>
    <w:rsid w:val="0076469D"/>
    <w:rsid w:val="00773538"/>
    <w:rsid w:val="00774376"/>
    <w:rsid w:val="0077448E"/>
    <w:rsid w:val="00775D65"/>
    <w:rsid w:val="007811EE"/>
    <w:rsid w:val="00781A92"/>
    <w:rsid w:val="00783A31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514"/>
    <w:rsid w:val="007D6028"/>
    <w:rsid w:val="007D6067"/>
    <w:rsid w:val="007E2F72"/>
    <w:rsid w:val="007E4696"/>
    <w:rsid w:val="007E6E89"/>
    <w:rsid w:val="007F301B"/>
    <w:rsid w:val="007F31C1"/>
    <w:rsid w:val="007F4705"/>
    <w:rsid w:val="007F4C0E"/>
    <w:rsid w:val="007F5FFC"/>
    <w:rsid w:val="0082374A"/>
    <w:rsid w:val="008262EF"/>
    <w:rsid w:val="00827F99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5AFE"/>
    <w:rsid w:val="008767D1"/>
    <w:rsid w:val="00880F71"/>
    <w:rsid w:val="008842E4"/>
    <w:rsid w:val="00884618"/>
    <w:rsid w:val="0088513B"/>
    <w:rsid w:val="00891124"/>
    <w:rsid w:val="008917BD"/>
    <w:rsid w:val="00891BD4"/>
    <w:rsid w:val="0089228D"/>
    <w:rsid w:val="008943A4"/>
    <w:rsid w:val="008957D9"/>
    <w:rsid w:val="008A776B"/>
    <w:rsid w:val="008A7DFB"/>
    <w:rsid w:val="008B2C12"/>
    <w:rsid w:val="008B454D"/>
    <w:rsid w:val="008B4FBA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4C1A"/>
    <w:rsid w:val="00925607"/>
    <w:rsid w:val="00934E69"/>
    <w:rsid w:val="00936557"/>
    <w:rsid w:val="009373D2"/>
    <w:rsid w:val="00940148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82CA8"/>
    <w:rsid w:val="009854CA"/>
    <w:rsid w:val="00991186"/>
    <w:rsid w:val="00991684"/>
    <w:rsid w:val="00991F8D"/>
    <w:rsid w:val="009931A8"/>
    <w:rsid w:val="00995C01"/>
    <w:rsid w:val="009A1C72"/>
    <w:rsid w:val="009A5D19"/>
    <w:rsid w:val="009B3623"/>
    <w:rsid w:val="009B429F"/>
    <w:rsid w:val="009C166B"/>
    <w:rsid w:val="009D296A"/>
    <w:rsid w:val="009D7F3E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43BB"/>
    <w:rsid w:val="00A655CD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4BAF"/>
    <w:rsid w:val="00B05E40"/>
    <w:rsid w:val="00B06D20"/>
    <w:rsid w:val="00B06DE3"/>
    <w:rsid w:val="00B13AF8"/>
    <w:rsid w:val="00B22704"/>
    <w:rsid w:val="00B23126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C03BC6"/>
    <w:rsid w:val="00C07A77"/>
    <w:rsid w:val="00C14505"/>
    <w:rsid w:val="00C22C21"/>
    <w:rsid w:val="00C278A4"/>
    <w:rsid w:val="00C41C06"/>
    <w:rsid w:val="00C45350"/>
    <w:rsid w:val="00C45F39"/>
    <w:rsid w:val="00C471EA"/>
    <w:rsid w:val="00C51FC9"/>
    <w:rsid w:val="00C65E2C"/>
    <w:rsid w:val="00C74387"/>
    <w:rsid w:val="00C80DB0"/>
    <w:rsid w:val="00C913AD"/>
    <w:rsid w:val="00C966BC"/>
    <w:rsid w:val="00CA2804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5F4F"/>
    <w:rsid w:val="00CE6122"/>
    <w:rsid w:val="00CE712A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6465"/>
    <w:rsid w:val="00D41AF0"/>
    <w:rsid w:val="00D43344"/>
    <w:rsid w:val="00D57D34"/>
    <w:rsid w:val="00D61337"/>
    <w:rsid w:val="00D71459"/>
    <w:rsid w:val="00D71AFE"/>
    <w:rsid w:val="00D71F0F"/>
    <w:rsid w:val="00D73F1D"/>
    <w:rsid w:val="00D75516"/>
    <w:rsid w:val="00D774D8"/>
    <w:rsid w:val="00D81760"/>
    <w:rsid w:val="00D917A8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32825"/>
    <w:rsid w:val="00E3383B"/>
    <w:rsid w:val="00E33850"/>
    <w:rsid w:val="00E37690"/>
    <w:rsid w:val="00E435ED"/>
    <w:rsid w:val="00E45F69"/>
    <w:rsid w:val="00E50496"/>
    <w:rsid w:val="00E52CFF"/>
    <w:rsid w:val="00E54B2E"/>
    <w:rsid w:val="00E55B13"/>
    <w:rsid w:val="00E64835"/>
    <w:rsid w:val="00E724ED"/>
    <w:rsid w:val="00E75177"/>
    <w:rsid w:val="00E77CD9"/>
    <w:rsid w:val="00E84C40"/>
    <w:rsid w:val="00E87A96"/>
    <w:rsid w:val="00E87D93"/>
    <w:rsid w:val="00E87E86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0823"/>
    <w:rsid w:val="00F069AE"/>
    <w:rsid w:val="00F27E04"/>
    <w:rsid w:val="00F33293"/>
    <w:rsid w:val="00F36FC5"/>
    <w:rsid w:val="00F3705B"/>
    <w:rsid w:val="00F40A1E"/>
    <w:rsid w:val="00F477F4"/>
    <w:rsid w:val="00F5421D"/>
    <w:rsid w:val="00F56FCA"/>
    <w:rsid w:val="00F62289"/>
    <w:rsid w:val="00F6389B"/>
    <w:rsid w:val="00F640A5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A4EA0"/>
    <w:rsid w:val="00FB1E43"/>
    <w:rsid w:val="00FC1FBD"/>
    <w:rsid w:val="00FC501A"/>
    <w:rsid w:val="00FC586D"/>
    <w:rsid w:val="00FD23F9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3C0C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0C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0C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0C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0C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3C0C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0C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0C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0C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0C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790A5249B4403E93B6F9521A63C8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A79266-D8F6-4005-B440-9BFCC667C0DA}"/>
      </w:docPartPr>
      <w:docPartBody>
        <w:p w:rsidR="00854B1A" w:rsidRDefault="00854B1A">
          <w:pPr>
            <w:pStyle w:val="C8790A5249B4403E93B6F9521A63C88E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E91852B543548E2843E3E8D2A4483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808BD-ABEC-4D1B-9103-6400510CB95C}"/>
      </w:docPartPr>
      <w:docPartBody>
        <w:p w:rsidR="00854B1A" w:rsidRDefault="00854B1A">
          <w:pPr>
            <w:pStyle w:val="9E91852B543548E2843E3E8D2A4483CB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47F447CC416449AA891E1C87023C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655516-B35E-4B32-8E7B-0B5CA0AE1B1E}"/>
      </w:docPartPr>
      <w:docPartBody>
        <w:p w:rsidR="00854B1A" w:rsidRDefault="00854B1A">
          <w:pPr>
            <w:pStyle w:val="047F447CC416449AA891E1C87023C49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4E35D25BB244F2940EA030E0E3BA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551D8-63FD-400E-8063-725A483568A4}"/>
      </w:docPartPr>
      <w:docPartBody>
        <w:p w:rsidR="00854B1A" w:rsidRDefault="00854B1A">
          <w:pPr>
            <w:pStyle w:val="754E35D25BB244F2940EA030E0E3BA33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1A"/>
    <w:rsid w:val="00854B1A"/>
    <w:rsid w:val="00E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8790A5249B4403E93B6F9521A63C88E">
    <w:name w:val="C8790A5249B4403E93B6F9521A63C88E"/>
  </w:style>
  <w:style w:type="paragraph" w:customStyle="1" w:styleId="9E91852B543548E2843E3E8D2A4483CB">
    <w:name w:val="9E91852B543548E2843E3E8D2A4483CB"/>
  </w:style>
  <w:style w:type="paragraph" w:customStyle="1" w:styleId="047F447CC416449AA891E1C87023C491">
    <w:name w:val="047F447CC416449AA891E1C87023C491"/>
  </w:style>
  <w:style w:type="paragraph" w:customStyle="1" w:styleId="754E35D25BB244F2940EA030E0E3BA33">
    <w:name w:val="754E35D25BB244F2940EA030E0E3BA3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8790A5249B4403E93B6F9521A63C88E">
    <w:name w:val="C8790A5249B4403E93B6F9521A63C88E"/>
  </w:style>
  <w:style w:type="paragraph" w:customStyle="1" w:styleId="9E91852B543548E2843E3E8D2A4483CB">
    <w:name w:val="9E91852B543548E2843E3E8D2A4483CB"/>
  </w:style>
  <w:style w:type="paragraph" w:customStyle="1" w:styleId="047F447CC416449AA891E1C87023C491">
    <w:name w:val="047F447CC416449AA891E1C87023C491"/>
  </w:style>
  <w:style w:type="paragraph" w:customStyle="1" w:styleId="754E35D25BB244F2940EA030E0E3BA33">
    <w:name w:val="754E35D25BB244F2940EA030E0E3B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1861-2842-468E-825B-6303DB9D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Gilbert</dc:creator>
  <cp:lastModifiedBy>Melanie Gilbert</cp:lastModifiedBy>
  <cp:revision>2</cp:revision>
  <cp:lastPrinted>2019-03-06T19:59:00Z</cp:lastPrinted>
  <dcterms:created xsi:type="dcterms:W3CDTF">2025-12-03T20:36:00Z</dcterms:created>
  <dcterms:modified xsi:type="dcterms:W3CDTF">2025-12-03T20:36:00Z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