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701"/>
        <w:gridCol w:w="2268"/>
        <w:gridCol w:w="2268"/>
        <w:gridCol w:w="2295"/>
      </w:tblGrid>
      <w:tr w:rsidR="008F6460" w:rsidRPr="00E9602C" w:rsidTr="00557AAB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2976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701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2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2295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557AAB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2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2295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282736" w:rsidRPr="00E9602C" w:rsidTr="00557AAB">
        <w:trPr>
          <w:trHeight w:val="1393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5308E7" w:rsidRPr="00557AAB" w:rsidRDefault="001E2F58" w:rsidP="005308E7">
            <w:pPr>
              <w:pStyle w:val="Sansinterligne"/>
              <w:jc w:val="left"/>
              <w:rPr>
                <w:sz w:val="18"/>
                <w:szCs w:val="18"/>
              </w:rPr>
            </w:pPr>
            <w:proofErr w:type="spellStart"/>
            <w:r w:rsidRPr="00557AAB">
              <w:rPr>
                <w:sz w:val="18"/>
                <w:szCs w:val="18"/>
              </w:rPr>
              <w:t>Phénylacétate</w:t>
            </w:r>
            <w:proofErr w:type="spellEnd"/>
            <w:r w:rsidRPr="00557AAB">
              <w:rPr>
                <w:sz w:val="18"/>
                <w:szCs w:val="18"/>
              </w:rPr>
              <w:t xml:space="preserve"> de sodium</w:t>
            </w:r>
            <w:r w:rsidR="00350C6F" w:rsidRPr="00557AAB">
              <w:rPr>
                <w:sz w:val="18"/>
                <w:szCs w:val="18"/>
              </w:rPr>
              <w:t xml:space="preserve"> +</w:t>
            </w:r>
          </w:p>
          <w:p w:rsidR="005308E7" w:rsidRPr="00557AAB" w:rsidRDefault="001E2F58" w:rsidP="005308E7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 xml:space="preserve">Benzoate de sodium </w:t>
            </w:r>
          </w:p>
          <w:p w:rsidR="001E2F58" w:rsidRPr="00557AAB" w:rsidRDefault="001E2F58" w:rsidP="005308E7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 xml:space="preserve">Fiole </w:t>
            </w:r>
            <w:proofErr w:type="spellStart"/>
            <w:r w:rsidR="00557AAB">
              <w:rPr>
                <w:sz w:val="18"/>
                <w:szCs w:val="18"/>
              </w:rPr>
              <w:t>unidose</w:t>
            </w:r>
            <w:proofErr w:type="spellEnd"/>
            <w:r w:rsidR="00557AAB">
              <w:rPr>
                <w:sz w:val="18"/>
                <w:szCs w:val="18"/>
              </w:rPr>
              <w:t xml:space="preserve"> </w:t>
            </w:r>
            <w:r w:rsidRPr="00557AAB">
              <w:rPr>
                <w:sz w:val="18"/>
                <w:szCs w:val="18"/>
              </w:rPr>
              <w:t xml:space="preserve">20 </w:t>
            </w:r>
            <w:proofErr w:type="spellStart"/>
            <w:r w:rsidRPr="00557AAB">
              <w:rPr>
                <w:sz w:val="16"/>
                <w:szCs w:val="18"/>
              </w:rPr>
              <w:t>mL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557AAB" w:rsidRDefault="00D24596" w:rsidP="005308E7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D</w:t>
            </w:r>
            <w:r w:rsidR="00350C6F" w:rsidRPr="00557AAB">
              <w:rPr>
                <w:sz w:val="18"/>
                <w:szCs w:val="18"/>
              </w:rPr>
              <w:t>éjà dilué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557AAB" w:rsidRDefault="001E2F58" w:rsidP="00FD1A38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100 mg/mL</w:t>
            </w:r>
          </w:p>
          <w:p w:rsidR="00282736" w:rsidRPr="00557AAB" w:rsidRDefault="00282736" w:rsidP="00664B42">
            <w:pPr>
              <w:pStyle w:val="Sansinterligne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88A" w:rsidRPr="00557AAB" w:rsidRDefault="00350C6F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557AAB">
              <w:rPr>
                <w:rFonts w:eastAsia="Calibri" w:cstheme="minorHAnsi"/>
                <w:sz w:val="18"/>
                <w:szCs w:val="18"/>
              </w:rPr>
              <w:t xml:space="preserve">6000 mg </w:t>
            </w:r>
          </w:p>
          <w:p w:rsidR="00350C6F" w:rsidRPr="00557AAB" w:rsidRDefault="00350C6F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</w:p>
          <w:p w:rsidR="00350C6F" w:rsidRPr="00557AAB" w:rsidRDefault="00854191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557AAB">
              <w:rPr>
                <w:rFonts w:eastAsia="Calibri" w:cstheme="minorHAnsi"/>
                <w:sz w:val="18"/>
                <w:szCs w:val="18"/>
              </w:rPr>
              <w:t xml:space="preserve">3 fioles de 20 </w:t>
            </w:r>
            <w:proofErr w:type="spellStart"/>
            <w:r w:rsidRPr="00557AAB">
              <w:rPr>
                <w:rFonts w:eastAsia="Calibri" w:cstheme="minorHAnsi"/>
                <w:sz w:val="18"/>
                <w:szCs w:val="18"/>
              </w:rPr>
              <w:t>mL</w:t>
            </w:r>
            <w:proofErr w:type="spellEnd"/>
            <w:r w:rsidRPr="00557AAB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E50AF9" w:rsidRPr="00557AAB">
              <w:rPr>
                <w:rFonts w:eastAsia="Calibri" w:cstheme="minorHAnsi"/>
                <w:sz w:val="18"/>
                <w:szCs w:val="18"/>
              </w:rPr>
              <w:t xml:space="preserve">(60 </w:t>
            </w:r>
            <w:proofErr w:type="spellStart"/>
            <w:r w:rsidR="00E50AF9" w:rsidRPr="00557AAB">
              <w:rPr>
                <w:rFonts w:eastAsia="Calibri" w:cstheme="minorHAnsi"/>
                <w:sz w:val="18"/>
                <w:szCs w:val="18"/>
              </w:rPr>
              <w:t>m</w:t>
            </w:r>
            <w:r w:rsidRPr="00557AAB">
              <w:rPr>
                <w:rFonts w:eastAsia="Calibri" w:cstheme="minorHAnsi"/>
                <w:sz w:val="18"/>
                <w:szCs w:val="18"/>
              </w:rPr>
              <w:t>L</w:t>
            </w:r>
            <w:proofErr w:type="spellEnd"/>
            <w:r w:rsidR="00E50AF9" w:rsidRPr="00557AAB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9E78AB" w:rsidRPr="00557AAB" w:rsidRDefault="009E78AB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</w:p>
          <w:p w:rsidR="009E78AB" w:rsidRPr="00557AAB" w:rsidRDefault="009E78AB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 w:val="18"/>
                <w:szCs w:val="18"/>
              </w:rPr>
            </w:pPr>
            <w:r w:rsidRPr="00557AAB">
              <w:rPr>
                <w:rFonts w:eastAsia="Calibri" w:cstheme="minorHAnsi"/>
                <w:sz w:val="18"/>
                <w:szCs w:val="18"/>
              </w:rPr>
              <w:t>Les doses sont exprimées en sod</w:t>
            </w:r>
            <w:r w:rsidR="00854191" w:rsidRPr="00557AAB">
              <w:rPr>
                <w:rFonts w:eastAsia="Calibri" w:cstheme="minorHAnsi"/>
                <w:sz w:val="18"/>
                <w:szCs w:val="18"/>
              </w:rPr>
              <w:t>i</w:t>
            </w:r>
            <w:r w:rsidRPr="00557AAB">
              <w:rPr>
                <w:rFonts w:eastAsia="Calibri" w:cstheme="minorHAnsi"/>
                <w:sz w:val="18"/>
                <w:szCs w:val="18"/>
              </w:rPr>
              <w:t xml:space="preserve">um benzoate </w:t>
            </w:r>
          </w:p>
          <w:p w:rsidR="00282736" w:rsidRPr="00557AAB" w:rsidRDefault="00282736" w:rsidP="0074688A">
            <w:pPr>
              <w:spacing w:before="120" w:after="0"/>
              <w:contextualSpacing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350C6F" w:rsidRPr="00557AAB" w:rsidRDefault="00350C6F" w:rsidP="00282736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  <w:r w:rsidRPr="00557AAB">
              <w:rPr>
                <w:rFonts w:cstheme="minorHAnsi"/>
                <w:sz w:val="18"/>
                <w:szCs w:val="18"/>
              </w:rPr>
              <w:t>Dans 490 ml de D10%</w:t>
            </w:r>
          </w:p>
          <w:p w:rsidR="0080138C" w:rsidRPr="00557AAB" w:rsidRDefault="001E2F58" w:rsidP="0080138C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  <w:r w:rsidRPr="00557AAB">
              <w:rPr>
                <w:rFonts w:cstheme="minorHAnsi"/>
                <w:sz w:val="18"/>
                <w:szCs w:val="18"/>
              </w:rPr>
              <w:t xml:space="preserve">Retirer 10 </w:t>
            </w:r>
            <w:proofErr w:type="spellStart"/>
            <w:r w:rsidRPr="00557AAB">
              <w:rPr>
                <w:rFonts w:cstheme="minorHAnsi"/>
                <w:sz w:val="18"/>
                <w:szCs w:val="18"/>
              </w:rPr>
              <w:t>mL</w:t>
            </w:r>
            <w:proofErr w:type="spellEnd"/>
            <w:r w:rsidRPr="00557AAB">
              <w:rPr>
                <w:rFonts w:cstheme="minorHAnsi"/>
                <w:sz w:val="18"/>
                <w:szCs w:val="18"/>
              </w:rPr>
              <w:t xml:space="preserve"> d’un sac de 500 </w:t>
            </w:r>
            <w:proofErr w:type="spellStart"/>
            <w:r w:rsidRPr="00557AAB">
              <w:rPr>
                <w:rFonts w:cstheme="minorHAnsi"/>
                <w:sz w:val="18"/>
                <w:szCs w:val="18"/>
              </w:rPr>
              <w:t>mL</w:t>
            </w:r>
            <w:proofErr w:type="spellEnd"/>
            <w:r w:rsidRPr="00557AAB">
              <w:rPr>
                <w:rFonts w:cstheme="minorHAnsi"/>
                <w:sz w:val="18"/>
                <w:szCs w:val="18"/>
              </w:rPr>
              <w:t xml:space="preserve"> de D10%. </w:t>
            </w:r>
          </w:p>
          <w:p w:rsidR="00E50AF9" w:rsidRPr="00557AAB" w:rsidRDefault="00E50AF9" w:rsidP="0080138C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</w:p>
          <w:p w:rsidR="00E50AF9" w:rsidRPr="00557AAB" w:rsidRDefault="00E50AF9" w:rsidP="0080138C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  <w:r w:rsidRPr="00557AAB">
              <w:rPr>
                <w:rFonts w:cstheme="minorHAnsi"/>
                <w:sz w:val="18"/>
                <w:szCs w:val="18"/>
              </w:rPr>
              <w:t>La concentration de la perfusion est de 10 mg/</w:t>
            </w:r>
            <w:proofErr w:type="spellStart"/>
            <w:r w:rsidRPr="00557AAB">
              <w:rPr>
                <w:rFonts w:cstheme="minorHAnsi"/>
                <w:sz w:val="18"/>
                <w:szCs w:val="18"/>
              </w:rPr>
              <w:t>mL</w:t>
            </w:r>
            <w:proofErr w:type="spellEnd"/>
            <w:r w:rsidRPr="00557AAB">
              <w:rPr>
                <w:rFonts w:cstheme="minorHAnsi"/>
                <w:sz w:val="18"/>
                <w:szCs w:val="18"/>
              </w:rPr>
              <w:t xml:space="preserve">, en tenant compte du volume du médicament (60 </w:t>
            </w:r>
            <w:proofErr w:type="spellStart"/>
            <w:r w:rsidR="00557AAB">
              <w:rPr>
                <w:rFonts w:cstheme="minorHAnsi"/>
                <w:sz w:val="18"/>
                <w:szCs w:val="18"/>
              </w:rPr>
              <w:t>mL</w:t>
            </w:r>
            <w:proofErr w:type="spellEnd"/>
            <w:r w:rsidR="00557AAB">
              <w:rPr>
                <w:rFonts w:cstheme="minorHAnsi"/>
                <w:sz w:val="18"/>
                <w:szCs w:val="18"/>
              </w:rPr>
              <w:t xml:space="preserve">) et du surplus du sac (50 </w:t>
            </w:r>
            <w:proofErr w:type="spellStart"/>
            <w:r w:rsidR="00557AAB">
              <w:rPr>
                <w:rFonts w:cstheme="minorHAnsi"/>
                <w:sz w:val="18"/>
                <w:szCs w:val="18"/>
              </w:rPr>
              <w:t>mL</w:t>
            </w:r>
            <w:proofErr w:type="spellEnd"/>
            <w:r w:rsidRPr="00557AAB">
              <w:rPr>
                <w:rFonts w:cstheme="minorHAnsi"/>
                <w:sz w:val="18"/>
                <w:szCs w:val="18"/>
              </w:rPr>
              <w:t>)</w:t>
            </w:r>
          </w:p>
          <w:p w:rsidR="0080138C" w:rsidRPr="00557AAB" w:rsidRDefault="0080138C" w:rsidP="0080138C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</w:p>
          <w:p w:rsidR="009E78AB" w:rsidRPr="00557AAB" w:rsidRDefault="0080138C" w:rsidP="009E78AB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  <w:r w:rsidRPr="00557AAB">
              <w:rPr>
                <w:rFonts w:cstheme="minorHAnsi"/>
                <w:sz w:val="18"/>
                <w:szCs w:val="18"/>
              </w:rPr>
              <w:t xml:space="preserve">Protéger de la </w:t>
            </w:r>
            <w:commentRangeStart w:id="0"/>
            <w:r w:rsidRPr="00557AAB">
              <w:rPr>
                <w:rFonts w:cstheme="minorHAnsi"/>
                <w:sz w:val="18"/>
                <w:szCs w:val="18"/>
              </w:rPr>
              <w:t>lumière</w:t>
            </w:r>
            <w:commentRangeEnd w:id="0"/>
            <w:r w:rsidR="009E78AB" w:rsidRPr="00557AAB">
              <w:rPr>
                <w:rStyle w:val="Marquedecommentaire"/>
                <w:sz w:val="18"/>
                <w:szCs w:val="18"/>
              </w:rPr>
              <w:commentReference w:id="0"/>
            </w:r>
          </w:p>
          <w:p w:rsidR="00282736" w:rsidRPr="00557AAB" w:rsidRDefault="009E78AB" w:rsidP="00D9014A">
            <w:pPr>
              <w:pStyle w:val="Sansinterligne"/>
              <w:jc w:val="left"/>
              <w:rPr>
                <w:rFonts w:cstheme="minorHAnsi"/>
                <w:sz w:val="18"/>
                <w:szCs w:val="18"/>
              </w:rPr>
            </w:pPr>
            <w:r w:rsidRPr="00557AAB">
              <w:rPr>
                <w:b/>
                <w:sz w:val="18"/>
                <w:szCs w:val="18"/>
              </w:rPr>
              <w:t>Administrer via voie centrale.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80138C" w:rsidRPr="00557AAB" w:rsidRDefault="0084316F" w:rsidP="00282736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Dose de charge :</w:t>
            </w:r>
            <w:r w:rsidR="00D24596" w:rsidRPr="00557AAB">
              <w:rPr>
                <w:sz w:val="18"/>
                <w:szCs w:val="18"/>
              </w:rPr>
              <w:t xml:space="preserve"> A</w:t>
            </w:r>
            <w:r w:rsidRPr="00557AAB">
              <w:rPr>
                <w:sz w:val="18"/>
                <w:szCs w:val="18"/>
              </w:rPr>
              <w:t>dministrer</w:t>
            </w:r>
            <w:r w:rsidR="00854191" w:rsidRPr="00557AAB">
              <w:rPr>
                <w:sz w:val="18"/>
                <w:szCs w:val="18"/>
              </w:rPr>
              <w:t xml:space="preserve"> en 90</w:t>
            </w:r>
            <w:r w:rsidR="00557AAB">
              <w:rPr>
                <w:sz w:val="18"/>
                <w:szCs w:val="18"/>
              </w:rPr>
              <w:t>-120</w:t>
            </w:r>
            <w:r w:rsidR="00854191" w:rsidRPr="00557AAB">
              <w:rPr>
                <w:sz w:val="18"/>
                <w:szCs w:val="18"/>
              </w:rPr>
              <w:t xml:space="preserve"> </w:t>
            </w:r>
            <w:r w:rsidRPr="00557AAB">
              <w:rPr>
                <w:sz w:val="18"/>
                <w:szCs w:val="18"/>
              </w:rPr>
              <w:t>mi</w:t>
            </w:r>
            <w:r w:rsidR="00854191" w:rsidRPr="00557AAB">
              <w:rPr>
                <w:sz w:val="18"/>
                <w:szCs w:val="18"/>
              </w:rPr>
              <w:t>n</w:t>
            </w:r>
          </w:p>
          <w:p w:rsidR="00D24596" w:rsidRPr="00557AAB" w:rsidRDefault="0080138C" w:rsidP="00854191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Administrer la dose de charge à mêm</w:t>
            </w:r>
            <w:r w:rsidR="00854191" w:rsidRPr="00557AAB">
              <w:rPr>
                <w:sz w:val="18"/>
                <w:szCs w:val="18"/>
              </w:rPr>
              <w:t xml:space="preserve">e le sac de perfusion continue </w:t>
            </w:r>
          </w:p>
        </w:tc>
        <w:tc>
          <w:tcPr>
            <w:tcW w:w="22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17BC8" w:rsidRPr="00557AAB" w:rsidRDefault="005C3F5B" w:rsidP="00B17BC8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Éviter l’</w:t>
            </w:r>
            <w:r w:rsidR="00B17BC8" w:rsidRPr="00557AAB">
              <w:rPr>
                <w:sz w:val="18"/>
                <w:szCs w:val="18"/>
              </w:rPr>
              <w:t xml:space="preserve">utilisation de </w:t>
            </w:r>
            <w:commentRangeStart w:id="1"/>
            <w:r w:rsidR="00B17BC8" w:rsidRPr="00557AAB">
              <w:rPr>
                <w:sz w:val="18"/>
                <w:szCs w:val="18"/>
              </w:rPr>
              <w:t>corticostéroïdes</w:t>
            </w:r>
            <w:commentRangeEnd w:id="1"/>
            <w:r w:rsidR="00E50AF9" w:rsidRPr="00557AAB">
              <w:rPr>
                <w:rStyle w:val="Marquedecommentaire"/>
                <w:sz w:val="18"/>
                <w:szCs w:val="18"/>
              </w:rPr>
              <w:commentReference w:id="1"/>
            </w:r>
            <w:r w:rsidRPr="00557AAB">
              <w:rPr>
                <w:sz w:val="18"/>
                <w:szCs w:val="18"/>
              </w:rPr>
              <w:t>, afin de ne pas causer la dégradation des protéines et l’augmentation de l’ammoniac</w:t>
            </w:r>
            <w:r w:rsidR="00B17BC8" w:rsidRPr="00557AAB">
              <w:rPr>
                <w:sz w:val="18"/>
                <w:szCs w:val="18"/>
              </w:rPr>
              <w:t xml:space="preserve"> </w:t>
            </w:r>
          </w:p>
          <w:p w:rsidR="0080138C" w:rsidRPr="00557AAB" w:rsidRDefault="0080138C" w:rsidP="0080138C">
            <w:pPr>
              <w:pStyle w:val="Sansinterligne"/>
              <w:jc w:val="left"/>
              <w:rPr>
                <w:b/>
                <w:sz w:val="18"/>
                <w:szCs w:val="18"/>
              </w:rPr>
            </w:pPr>
          </w:p>
          <w:p w:rsidR="00B17BC8" w:rsidRPr="00557AAB" w:rsidRDefault="0080138C" w:rsidP="0080138C">
            <w:pPr>
              <w:pStyle w:val="Sansinterligne"/>
              <w:rPr>
                <w:sz w:val="20"/>
                <w:szCs w:val="21"/>
              </w:rPr>
            </w:pPr>
            <w:r w:rsidRPr="00557AAB">
              <w:rPr>
                <w:sz w:val="18"/>
                <w:szCs w:val="18"/>
              </w:rPr>
              <w:t>S</w:t>
            </w:r>
            <w:r w:rsidR="009E78AB" w:rsidRPr="00557AAB">
              <w:rPr>
                <w:sz w:val="18"/>
                <w:szCs w:val="18"/>
              </w:rPr>
              <w:t xml:space="preserve">i la voie centrale n’est pas </w:t>
            </w:r>
            <w:r w:rsidRPr="00557AAB">
              <w:rPr>
                <w:sz w:val="18"/>
                <w:szCs w:val="18"/>
              </w:rPr>
              <w:t xml:space="preserve">disponible rapidement, utiliser </w:t>
            </w:r>
            <w:r w:rsidR="009E78AB" w:rsidRPr="00557AAB">
              <w:rPr>
                <w:sz w:val="18"/>
                <w:szCs w:val="18"/>
              </w:rPr>
              <w:t xml:space="preserve">TEMPORAIREMENT </w:t>
            </w:r>
            <w:r w:rsidRPr="00557AAB">
              <w:rPr>
                <w:sz w:val="18"/>
                <w:szCs w:val="18"/>
              </w:rPr>
              <w:t xml:space="preserve">une voie périphérique de gros calibre </w:t>
            </w:r>
            <w:r w:rsidR="009E78AB" w:rsidRPr="00557AAB">
              <w:rPr>
                <w:sz w:val="18"/>
                <w:szCs w:val="18"/>
              </w:rPr>
              <w:t xml:space="preserve">au niveau du pli du coude </w:t>
            </w:r>
            <w:r w:rsidRPr="00557AAB">
              <w:rPr>
                <w:sz w:val="18"/>
                <w:szCs w:val="18"/>
              </w:rPr>
              <w:t>et surveiller</w:t>
            </w:r>
            <w:r w:rsidR="009E78AB" w:rsidRPr="00557AAB">
              <w:rPr>
                <w:sz w:val="18"/>
                <w:szCs w:val="18"/>
              </w:rPr>
              <w:t xml:space="preserve"> ÉTROITEMENT </w:t>
            </w:r>
            <w:r w:rsidRPr="00557AAB">
              <w:rPr>
                <w:sz w:val="18"/>
                <w:szCs w:val="18"/>
              </w:rPr>
              <w:t xml:space="preserve"> les signes d’extravasation</w:t>
            </w:r>
            <w:r w:rsidR="005C3F5B" w:rsidRPr="00557AAB">
              <w:rPr>
                <w:sz w:val="18"/>
                <w:szCs w:val="18"/>
              </w:rPr>
              <w:t xml:space="preserve"> et la douleur</w:t>
            </w:r>
          </w:p>
        </w:tc>
      </w:tr>
      <w:tr w:rsidR="00282736" w:rsidRPr="00E9602C" w:rsidTr="00557AAB">
        <w:trPr>
          <w:trHeight w:val="1597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282736" w:rsidRPr="00557AAB" w:rsidRDefault="00282736" w:rsidP="00774376">
            <w:pPr>
              <w:keepNext/>
              <w:spacing w:after="0" w:line="276" w:lineRule="auto"/>
              <w:jc w:val="left"/>
              <w:rPr>
                <w:rFonts w:cstheme="minorHAnsi"/>
                <w:sz w:val="18"/>
                <w:szCs w:val="18"/>
              </w:rPr>
            </w:pPr>
            <w:r w:rsidRPr="00557AAB">
              <w:rPr>
                <w:rFonts w:cstheme="minorHAnsi"/>
                <w:sz w:val="18"/>
                <w:szCs w:val="18"/>
              </w:rPr>
              <w:t>Conservation :</w:t>
            </w:r>
          </w:p>
          <w:p w:rsidR="00282736" w:rsidRPr="00557AAB" w:rsidRDefault="00282736" w:rsidP="001E2F58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 xml:space="preserve">Température ambiante </w:t>
            </w:r>
          </w:p>
        </w:tc>
        <w:tc>
          <w:tcPr>
            <w:tcW w:w="1275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557AAB" w:rsidRDefault="00282736" w:rsidP="0077437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557AAB" w:rsidRDefault="00282736" w:rsidP="0077437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282736" w:rsidRPr="00557AAB" w:rsidRDefault="00282736" w:rsidP="0077437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82736" w:rsidRPr="00557AAB" w:rsidRDefault="00282736" w:rsidP="00774376">
            <w:pPr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80138C" w:rsidRPr="00557AAB" w:rsidRDefault="0080138C" w:rsidP="0080138C">
            <w:pPr>
              <w:pStyle w:val="Sansinterligne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Dose d’entretien :</w:t>
            </w:r>
          </w:p>
          <w:p w:rsidR="00282736" w:rsidRPr="00557AAB" w:rsidRDefault="0080138C" w:rsidP="0080138C">
            <w:pPr>
              <w:keepNext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 xml:space="preserve">Perfusion continue </w:t>
            </w:r>
            <w:r w:rsidR="00557AAB">
              <w:rPr>
                <w:sz w:val="18"/>
                <w:szCs w:val="18"/>
              </w:rPr>
              <w:t>s</w:t>
            </w:r>
            <w:r w:rsidRPr="00557AAB">
              <w:rPr>
                <w:sz w:val="18"/>
                <w:szCs w:val="18"/>
              </w:rPr>
              <w:t xml:space="preserve">ur 24h </w:t>
            </w:r>
          </w:p>
          <w:p w:rsidR="00E50AF9" w:rsidRPr="00557AAB" w:rsidRDefault="00E50AF9" w:rsidP="0080138C">
            <w:pPr>
              <w:keepNext/>
              <w:jc w:val="left"/>
              <w:rPr>
                <w:sz w:val="18"/>
                <w:szCs w:val="18"/>
                <w:highlight w:val="yellow"/>
              </w:rPr>
            </w:pPr>
            <w:r w:rsidRPr="00557AAB">
              <w:rPr>
                <w:sz w:val="18"/>
                <w:szCs w:val="18"/>
              </w:rPr>
              <w:t>Plusieurs sacs de perfusion peuvent être nécessaires</w:t>
            </w:r>
          </w:p>
        </w:tc>
        <w:tc>
          <w:tcPr>
            <w:tcW w:w="2295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557AAB" w:rsidRDefault="00A05B64" w:rsidP="0065712B">
      <w:pPr>
        <w:spacing w:before="240"/>
        <w:jc w:val="left"/>
        <w:rPr>
          <w:b/>
          <w:sz w:val="18"/>
          <w:szCs w:val="18"/>
        </w:rPr>
      </w:pPr>
      <w:r w:rsidRPr="00557AAB">
        <w:rPr>
          <w:b/>
          <w:sz w:val="18"/>
          <w:szCs w:val="18"/>
        </w:rPr>
        <w:t>Stabilité</w:t>
      </w:r>
      <w:r w:rsidR="00711A64" w:rsidRPr="00557AAB">
        <w:rPr>
          <w:b/>
          <w:sz w:val="18"/>
          <w:szCs w:val="18"/>
        </w:rPr>
        <w:t xml:space="preserve"> pour une préparation à l’unité de soins</w:t>
      </w:r>
      <w:r w:rsidRPr="00557AAB">
        <w:rPr>
          <w:b/>
          <w:sz w:val="18"/>
          <w:szCs w:val="18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557AAB" w:rsidTr="007E4696">
        <w:trPr>
          <w:trHeight w:val="397"/>
        </w:trPr>
        <w:tc>
          <w:tcPr>
            <w:tcW w:w="1526" w:type="dxa"/>
            <w:vAlign w:val="center"/>
          </w:tcPr>
          <w:p w:rsidR="00306654" w:rsidRPr="00557AAB" w:rsidRDefault="00306654" w:rsidP="009854CA">
            <w:pPr>
              <w:spacing w:after="0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Fiole utilisée :</w:t>
            </w:r>
          </w:p>
        </w:tc>
        <w:sdt>
          <w:sdtPr>
            <w:rPr>
              <w:sz w:val="18"/>
              <w:szCs w:val="18"/>
            </w:rPr>
            <w:id w:val="460845180"/>
            <w:placeholder>
              <w:docPart w:val="C8790A5249B4403E93B6F9521A63C88E"/>
            </w:placeholder>
          </w:sdtPr>
          <w:sdtContent>
            <w:tc>
              <w:tcPr>
                <w:tcW w:w="11650" w:type="dxa"/>
                <w:vAlign w:val="center"/>
              </w:tcPr>
              <w:p w:rsidR="00306654" w:rsidRPr="00557AAB" w:rsidRDefault="0080138C" w:rsidP="0080138C">
                <w:pPr>
                  <w:spacing w:after="0"/>
                  <w:jc w:val="left"/>
                  <w:rPr>
                    <w:sz w:val="18"/>
                    <w:szCs w:val="18"/>
                  </w:rPr>
                </w:pPr>
                <w:r w:rsidRPr="00557AAB">
                  <w:rPr>
                    <w:sz w:val="18"/>
                    <w:szCs w:val="18"/>
                  </w:rPr>
                  <w:t xml:space="preserve">Préparation par le département de pharmacie </w:t>
                </w:r>
              </w:p>
            </w:tc>
          </w:sdtContent>
        </w:sdt>
      </w:tr>
      <w:tr w:rsidR="00306654" w:rsidRPr="00557AAB" w:rsidTr="007E4696">
        <w:trPr>
          <w:trHeight w:val="397"/>
        </w:trPr>
        <w:tc>
          <w:tcPr>
            <w:tcW w:w="1526" w:type="dxa"/>
            <w:vAlign w:val="center"/>
          </w:tcPr>
          <w:p w:rsidR="00306654" w:rsidRPr="00557AAB" w:rsidRDefault="00F640A5" w:rsidP="0030659A">
            <w:pPr>
              <w:spacing w:after="0"/>
              <w:ind w:right="-533"/>
              <w:jc w:val="left"/>
              <w:rPr>
                <w:sz w:val="18"/>
                <w:szCs w:val="18"/>
              </w:rPr>
            </w:pPr>
            <w:r w:rsidRPr="00557AAB">
              <w:rPr>
                <w:sz w:val="18"/>
                <w:szCs w:val="18"/>
              </w:rPr>
              <w:t>Seringue ou s</w:t>
            </w:r>
            <w:r w:rsidR="00494B0D" w:rsidRPr="00557AAB">
              <w:rPr>
                <w:sz w:val="18"/>
                <w:szCs w:val="18"/>
              </w:rPr>
              <w:t>ac </w:t>
            </w:r>
            <w:r w:rsidR="00306654" w:rsidRPr="00557AAB">
              <w:rPr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8"/>
              <w:szCs w:val="18"/>
            </w:rPr>
            <w:id w:val="1960842908"/>
            <w:lock w:val="sdtLocked"/>
            <w:placeholder>
              <w:docPart w:val="9E91852B543548E2843E3E8D2A4483CB"/>
            </w:placeholder>
          </w:sdtPr>
          <w:sdtContent>
            <w:tc>
              <w:tcPr>
                <w:tcW w:w="11650" w:type="dxa"/>
                <w:vAlign w:val="center"/>
              </w:tcPr>
              <w:p w:rsidR="00306654" w:rsidRPr="00557AAB" w:rsidRDefault="0080138C" w:rsidP="0080138C">
                <w:pPr>
                  <w:spacing w:after="0"/>
                  <w:jc w:val="left"/>
                  <w:rPr>
                    <w:sz w:val="18"/>
                    <w:szCs w:val="18"/>
                  </w:rPr>
                </w:pPr>
                <w:r w:rsidRPr="00557AAB">
                  <w:rPr>
                    <w:sz w:val="18"/>
                    <w:szCs w:val="18"/>
                  </w:rPr>
                  <w:t>S</w:t>
                </w:r>
                <w:r w:rsidR="001E2F58" w:rsidRPr="00557AAB">
                  <w:rPr>
                    <w:sz w:val="18"/>
                    <w:szCs w:val="18"/>
                  </w:rPr>
                  <w:t>t</w:t>
                </w:r>
                <w:r w:rsidR="00D24596" w:rsidRPr="00557AAB">
                  <w:rPr>
                    <w:sz w:val="18"/>
                    <w:szCs w:val="18"/>
                  </w:rPr>
                  <w:t xml:space="preserve">abilité de 24h </w:t>
                </w:r>
                <w:r w:rsidRPr="00557AAB">
                  <w:rPr>
                    <w:sz w:val="18"/>
                    <w:szCs w:val="18"/>
                  </w:rPr>
                  <w:t>à température ambiante</w:t>
                </w:r>
                <w:r w:rsidR="00D24596" w:rsidRPr="00557AAB">
                  <w:rPr>
                    <w:sz w:val="18"/>
                    <w:szCs w:val="18"/>
                  </w:rPr>
                  <w:t>. Protéger de la lumière.</w:t>
                </w:r>
              </w:p>
            </w:tc>
          </w:sdtContent>
        </w:sdt>
      </w:tr>
    </w:tbl>
    <w:p w:rsidR="00C65E2C" w:rsidRPr="00557AAB" w:rsidRDefault="00A05B64" w:rsidP="00E87A96">
      <w:pPr>
        <w:spacing w:before="240"/>
        <w:jc w:val="left"/>
        <w:rPr>
          <w:rFonts w:cstheme="minorHAnsi"/>
          <w:sz w:val="18"/>
          <w:szCs w:val="18"/>
        </w:rPr>
      </w:pPr>
      <w:r w:rsidRPr="00557AAB">
        <w:rPr>
          <w:rFonts w:cstheme="minorHAnsi"/>
          <w:b/>
          <w:sz w:val="18"/>
          <w:szCs w:val="18"/>
        </w:rPr>
        <w:t>Compatibilité avec les solutés :</w:t>
      </w:r>
      <w:r w:rsidRPr="00557AAB">
        <w:rPr>
          <w:rFonts w:cstheme="minorHAnsi"/>
          <w:sz w:val="18"/>
          <w:szCs w:val="18"/>
        </w:rPr>
        <w:t xml:space="preserve"> </w:t>
      </w:r>
      <w:bookmarkStart w:id="2" w:name="_Toc424288453"/>
      <w:sdt>
        <w:sdtPr>
          <w:rPr>
            <w:rFonts w:cstheme="minorHAnsi"/>
            <w:sz w:val="18"/>
            <w:szCs w:val="18"/>
          </w:rPr>
          <w:id w:val="-1968195364"/>
          <w:lock w:val="sdtLocked"/>
          <w:placeholder>
            <w:docPart w:val="047F447CC416449AA891E1C87023C491"/>
          </w:placeholder>
        </w:sdtPr>
        <w:sdtContent>
          <w:r w:rsidR="001E2F58" w:rsidRPr="00557AAB">
            <w:rPr>
              <w:rFonts w:cstheme="minorHAnsi"/>
              <w:sz w:val="18"/>
              <w:szCs w:val="18"/>
            </w:rPr>
            <w:t>D10%</w:t>
          </w:r>
          <w:r w:rsidR="00DE5E28" w:rsidRPr="00557AAB">
            <w:rPr>
              <w:rFonts w:cstheme="minorHAnsi"/>
              <w:sz w:val="18"/>
              <w:szCs w:val="18"/>
            </w:rPr>
            <w:t xml:space="preserve">, arginine 10% </w:t>
          </w:r>
        </w:sdtContent>
      </w:sdt>
    </w:p>
    <w:p w:rsidR="00675BDF" w:rsidRPr="00557AAB" w:rsidRDefault="00C278A4" w:rsidP="00557AAB">
      <w:pPr>
        <w:spacing w:before="240"/>
        <w:jc w:val="left"/>
        <w:rPr>
          <w:rFonts w:cstheme="minorHAnsi"/>
          <w:sz w:val="18"/>
          <w:szCs w:val="18"/>
        </w:rPr>
      </w:pPr>
      <w:r w:rsidRPr="00557AAB">
        <w:rPr>
          <w:rFonts w:cstheme="minorHAnsi"/>
          <w:b/>
          <w:sz w:val="18"/>
          <w:szCs w:val="18"/>
        </w:rPr>
        <w:t>Incompatibilité</w:t>
      </w:r>
      <w:r w:rsidR="00945D21" w:rsidRPr="00557AAB">
        <w:rPr>
          <w:rFonts w:cstheme="minorHAnsi"/>
          <w:b/>
          <w:sz w:val="18"/>
          <w:szCs w:val="18"/>
        </w:rPr>
        <w:t xml:space="preserve"> : </w:t>
      </w:r>
      <w:sdt>
        <w:sdtPr>
          <w:rPr>
            <w:rFonts w:cstheme="minorHAnsi"/>
            <w:sz w:val="18"/>
            <w:szCs w:val="18"/>
          </w:rPr>
          <w:id w:val="189185613"/>
          <w:lock w:val="sdtLocked"/>
          <w:placeholder>
            <w:docPart w:val="754E35D25BB244F2940EA030E0E3BA33"/>
          </w:placeholder>
        </w:sdtPr>
        <w:sdtContent>
          <w:r w:rsidR="00DE5E28" w:rsidRPr="00557AAB">
            <w:rPr>
              <w:rFonts w:cstheme="minorHAnsi"/>
              <w:sz w:val="18"/>
              <w:szCs w:val="18"/>
            </w:rPr>
            <w:t>Ne pas administrer avec d’autres médicaments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5479"/>
      </w:tblGrid>
      <w:tr w:rsidR="0001492A" w:rsidRPr="00E9602C" w:rsidTr="00557AAB">
        <w:trPr>
          <w:trHeight w:val="567"/>
        </w:trPr>
        <w:tc>
          <w:tcPr>
            <w:tcW w:w="7621" w:type="dxa"/>
            <w:shd w:val="clear" w:color="auto" w:fill="95B3D7" w:themeFill="accent1" w:themeFillTint="99"/>
            <w:vAlign w:val="center"/>
          </w:tcPr>
          <w:bookmarkEnd w:id="2"/>
          <w:p w:rsidR="0001492A" w:rsidRPr="00557AAB" w:rsidRDefault="009854CA" w:rsidP="009854CA">
            <w:pPr>
              <w:keepNext/>
              <w:spacing w:after="0" w:line="276" w:lineRule="auto"/>
              <w:jc w:val="center"/>
              <w:rPr>
                <w:b/>
                <w:sz w:val="20"/>
              </w:rPr>
            </w:pPr>
            <w:r w:rsidRPr="00557AAB">
              <w:rPr>
                <w:b/>
                <w:sz w:val="20"/>
              </w:rPr>
              <w:lastRenderedPageBreak/>
              <w:t>PRÉCAUTIONS ET MONITORAGE</w:t>
            </w:r>
          </w:p>
        </w:tc>
        <w:tc>
          <w:tcPr>
            <w:tcW w:w="5479" w:type="dxa"/>
            <w:shd w:val="clear" w:color="auto" w:fill="95B3D7" w:themeFill="accent1" w:themeFillTint="99"/>
            <w:vAlign w:val="center"/>
          </w:tcPr>
          <w:p w:rsidR="0001492A" w:rsidRPr="00557AAB" w:rsidRDefault="00774376" w:rsidP="009854CA">
            <w:pPr>
              <w:keepNext/>
              <w:spacing w:after="0" w:line="276" w:lineRule="auto"/>
              <w:jc w:val="center"/>
              <w:rPr>
                <w:b/>
                <w:sz w:val="20"/>
              </w:rPr>
            </w:pPr>
            <w:r w:rsidRPr="00557AAB">
              <w:rPr>
                <w:b/>
                <w:sz w:val="20"/>
              </w:rPr>
              <w:t>EFFETS INDÉSIRABLES</w:t>
            </w:r>
          </w:p>
        </w:tc>
      </w:tr>
      <w:tr w:rsidR="0001492A" w:rsidRPr="00C278A4" w:rsidTr="00557AAB">
        <w:trPr>
          <w:trHeight w:val="1835"/>
        </w:trPr>
        <w:tc>
          <w:tcPr>
            <w:tcW w:w="7621" w:type="dxa"/>
          </w:tcPr>
          <w:p w:rsidR="00E50AF9" w:rsidRPr="00557AAB" w:rsidRDefault="00E50AF9" w:rsidP="0080138C">
            <w:pPr>
              <w:pStyle w:val="Sansinterligne"/>
              <w:jc w:val="left"/>
              <w:rPr>
                <w:b/>
                <w:sz w:val="17"/>
                <w:szCs w:val="17"/>
                <w:u w:val="single"/>
              </w:rPr>
            </w:pPr>
            <w:r w:rsidRPr="00557AAB">
              <w:rPr>
                <w:b/>
                <w:sz w:val="17"/>
                <w:szCs w:val="17"/>
                <w:u w:val="single"/>
              </w:rPr>
              <w:t>Précautions :</w:t>
            </w:r>
          </w:p>
          <w:p w:rsidR="005C4E18" w:rsidRPr="00557AAB" w:rsidRDefault="0080138C" w:rsidP="00036318">
            <w:pPr>
              <w:pStyle w:val="Sansinterligne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Contient 30.5 mg de sod</w:t>
            </w:r>
            <w:r w:rsidR="00036318" w:rsidRPr="00557AAB">
              <w:rPr>
                <w:sz w:val="17"/>
                <w:szCs w:val="17"/>
              </w:rPr>
              <w:t>ium/</w:t>
            </w:r>
            <w:proofErr w:type="spellStart"/>
            <w:r w:rsidR="00036318" w:rsidRPr="00557AAB">
              <w:rPr>
                <w:sz w:val="17"/>
                <w:szCs w:val="17"/>
              </w:rPr>
              <w:t>mL</w:t>
            </w:r>
            <w:proofErr w:type="spellEnd"/>
          </w:p>
          <w:p w:rsidR="005C4E18" w:rsidRPr="00557AAB" w:rsidRDefault="005C4E18" w:rsidP="005C4E18">
            <w:pPr>
              <w:pStyle w:val="Sansinterligne"/>
              <w:ind w:left="284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Précaution chez les patients à risque de surcharge (insuffisance cardiaque, insuffisance rénale)</w:t>
            </w:r>
          </w:p>
          <w:p w:rsidR="0080138C" w:rsidRPr="00557AAB" w:rsidRDefault="009E78AB" w:rsidP="008867A3">
            <w:pPr>
              <w:pStyle w:val="Sansinterligne"/>
              <w:rPr>
                <w:b/>
                <w:sz w:val="17"/>
                <w:szCs w:val="17"/>
                <w:u w:val="single"/>
              </w:rPr>
            </w:pPr>
            <w:r w:rsidRPr="00557AAB">
              <w:rPr>
                <w:b/>
                <w:sz w:val="17"/>
                <w:szCs w:val="17"/>
                <w:u w:val="single"/>
              </w:rPr>
              <w:t>Monitorage :</w:t>
            </w:r>
          </w:p>
          <w:p w:rsidR="009E78AB" w:rsidRPr="00557AAB" w:rsidRDefault="00557AAB" w:rsidP="008867A3">
            <w:pPr>
              <w:pStyle w:val="Sansinterligne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Monitorage cardiaque et </w:t>
            </w:r>
            <w:proofErr w:type="spellStart"/>
            <w:r>
              <w:rPr>
                <w:sz w:val="17"/>
                <w:szCs w:val="17"/>
              </w:rPr>
              <w:t>s</w:t>
            </w:r>
            <w:r w:rsidR="009E78AB" w:rsidRPr="00557AAB">
              <w:rPr>
                <w:sz w:val="17"/>
                <w:szCs w:val="17"/>
              </w:rPr>
              <w:t>aturométrie</w:t>
            </w:r>
            <w:proofErr w:type="spellEnd"/>
            <w:r w:rsidR="009E78AB" w:rsidRPr="00557AAB">
              <w:rPr>
                <w:sz w:val="17"/>
                <w:szCs w:val="17"/>
              </w:rPr>
              <w:t xml:space="preserve"> </w:t>
            </w:r>
          </w:p>
          <w:p w:rsidR="00854191" w:rsidRPr="00557AAB" w:rsidRDefault="00854191" w:rsidP="00854191">
            <w:pPr>
              <w:pStyle w:val="Sansinterligne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Surveillance étroite du site de perfusion</w:t>
            </w:r>
          </w:p>
          <w:p w:rsidR="00854191" w:rsidRPr="00557AAB" w:rsidRDefault="00854191" w:rsidP="00854191">
            <w:pPr>
              <w:pStyle w:val="Sansinterligne"/>
              <w:ind w:left="284"/>
              <w:rPr>
                <w:b/>
                <w:sz w:val="17"/>
                <w:szCs w:val="17"/>
              </w:rPr>
            </w:pPr>
            <w:r w:rsidRPr="00557AAB">
              <w:rPr>
                <w:b/>
                <w:sz w:val="17"/>
                <w:szCs w:val="17"/>
              </w:rPr>
              <w:t>Médicament très vésicant</w:t>
            </w:r>
            <w:r w:rsidR="005C4E18" w:rsidRPr="00557AAB">
              <w:rPr>
                <w:b/>
                <w:sz w:val="17"/>
                <w:szCs w:val="17"/>
              </w:rPr>
              <w:t xml:space="preserve">.  Risque de nécrose tissulaire </w:t>
            </w:r>
          </w:p>
          <w:p w:rsidR="0080138C" w:rsidRPr="00557AAB" w:rsidRDefault="00854191" w:rsidP="00036318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Si extravasation : élever le memb</w:t>
            </w:r>
            <w:r w:rsidR="00557AAB" w:rsidRPr="00557AAB">
              <w:rPr>
                <w:sz w:val="17"/>
                <w:szCs w:val="17"/>
              </w:rPr>
              <w:t>re, utiliser compresses froides</w:t>
            </w:r>
          </w:p>
          <w:p w:rsidR="009C166B" w:rsidRPr="00557AAB" w:rsidRDefault="00557AAB" w:rsidP="008867A3">
            <w:pPr>
              <w:pStyle w:val="Sansinterligne"/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Avant le début du</w:t>
            </w:r>
            <w:r w:rsidR="00854191" w:rsidRPr="00557AAB">
              <w:rPr>
                <w:b/>
                <w:sz w:val="17"/>
                <w:szCs w:val="17"/>
                <w:u w:val="single"/>
              </w:rPr>
              <w:t xml:space="preserve"> traitement</w:t>
            </w:r>
            <w:r w:rsidR="008867A3" w:rsidRPr="00557AAB">
              <w:rPr>
                <w:b/>
                <w:sz w:val="17"/>
                <w:szCs w:val="17"/>
                <w:u w:val="single"/>
              </w:rPr>
              <w:t>:</w:t>
            </w:r>
          </w:p>
          <w:p w:rsidR="008867A3" w:rsidRPr="00557AAB" w:rsidRDefault="008867A3" w:rsidP="008867A3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Ammoniac veineux sur glace</w:t>
            </w:r>
          </w:p>
          <w:p w:rsidR="008867A3" w:rsidRPr="00557AAB" w:rsidRDefault="008867A3" w:rsidP="008867A3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Osmolarité sanguine</w:t>
            </w:r>
          </w:p>
          <w:p w:rsidR="008867A3" w:rsidRPr="00557AAB" w:rsidRDefault="008867A3" w:rsidP="008867A3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Ionogramme, glycémie, gaz artériel, lactate</w:t>
            </w:r>
          </w:p>
          <w:p w:rsidR="008867A3" w:rsidRPr="00557AAB" w:rsidRDefault="008867A3" w:rsidP="008867A3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FSC</w:t>
            </w:r>
          </w:p>
          <w:p w:rsidR="008867A3" w:rsidRPr="00557AAB" w:rsidRDefault="008867A3" w:rsidP="008867A3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Fonction hépatique et rénale</w:t>
            </w:r>
          </w:p>
          <w:p w:rsidR="008867A3" w:rsidRPr="00557AAB" w:rsidRDefault="008867A3" w:rsidP="008867A3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Analyse d’urine</w:t>
            </w:r>
          </w:p>
          <w:p w:rsidR="00854191" w:rsidRPr="00557AAB" w:rsidRDefault="008867A3" w:rsidP="00036318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Chromatographie des acides aminés sériques</w:t>
            </w:r>
          </w:p>
          <w:p w:rsidR="00854191" w:rsidRPr="00557AAB" w:rsidRDefault="00854191" w:rsidP="00854191">
            <w:pPr>
              <w:pStyle w:val="Sansinterligne"/>
              <w:rPr>
                <w:b/>
                <w:sz w:val="17"/>
                <w:szCs w:val="17"/>
                <w:u w:val="single"/>
              </w:rPr>
            </w:pPr>
            <w:r w:rsidRPr="00557AAB">
              <w:rPr>
                <w:b/>
                <w:sz w:val="17"/>
                <w:szCs w:val="17"/>
                <w:u w:val="single"/>
              </w:rPr>
              <w:t xml:space="preserve">Durant dose de </w:t>
            </w:r>
            <w:commentRangeStart w:id="3"/>
            <w:r w:rsidRPr="00557AAB">
              <w:rPr>
                <w:b/>
                <w:sz w:val="17"/>
                <w:szCs w:val="17"/>
                <w:u w:val="single"/>
              </w:rPr>
              <w:t>charge</w:t>
            </w:r>
            <w:commentRangeEnd w:id="3"/>
            <w:r w:rsidRPr="00557AAB">
              <w:rPr>
                <w:rStyle w:val="Marquedecommentaire"/>
                <w:b/>
                <w:sz w:val="17"/>
                <w:szCs w:val="17"/>
                <w:u w:val="single"/>
              </w:rPr>
              <w:commentReference w:id="3"/>
            </w:r>
            <w:r w:rsidRPr="00557AAB">
              <w:rPr>
                <w:b/>
                <w:sz w:val="17"/>
                <w:szCs w:val="17"/>
                <w:u w:val="single"/>
              </w:rPr>
              <w:t> :</w:t>
            </w:r>
          </w:p>
          <w:p w:rsidR="00854191" w:rsidRPr="00557AAB" w:rsidRDefault="00854191" w:rsidP="008867A3">
            <w:pPr>
              <w:pStyle w:val="Sansinterligne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 xml:space="preserve">Glycémie q15 min </w:t>
            </w:r>
          </w:p>
          <w:p w:rsidR="008867A3" w:rsidRPr="00557AAB" w:rsidRDefault="008867A3" w:rsidP="008867A3">
            <w:pPr>
              <w:pStyle w:val="Sansinterligne"/>
              <w:rPr>
                <w:b/>
                <w:sz w:val="17"/>
                <w:szCs w:val="17"/>
                <w:u w:val="single"/>
              </w:rPr>
            </w:pPr>
            <w:r w:rsidRPr="00557AAB">
              <w:rPr>
                <w:b/>
                <w:sz w:val="17"/>
                <w:szCs w:val="17"/>
                <w:u w:val="single"/>
              </w:rPr>
              <w:t>Aux 2 heures</w:t>
            </w:r>
            <w:r w:rsidR="00854191" w:rsidRPr="00557AAB">
              <w:rPr>
                <w:b/>
                <w:sz w:val="17"/>
                <w:szCs w:val="17"/>
                <w:u w:val="single"/>
              </w:rPr>
              <w:t xml:space="preserve">, durant perfusion </w:t>
            </w:r>
            <w:commentRangeStart w:id="4"/>
            <w:r w:rsidR="00854191" w:rsidRPr="00557AAB">
              <w:rPr>
                <w:b/>
                <w:sz w:val="17"/>
                <w:szCs w:val="17"/>
                <w:u w:val="single"/>
              </w:rPr>
              <w:t>continue</w:t>
            </w:r>
            <w:commentRangeEnd w:id="4"/>
            <w:r w:rsidR="00036318" w:rsidRPr="00557AAB">
              <w:rPr>
                <w:rStyle w:val="Marquedecommentaire"/>
                <w:sz w:val="17"/>
                <w:szCs w:val="17"/>
              </w:rPr>
              <w:commentReference w:id="4"/>
            </w:r>
            <w:r w:rsidR="00854191" w:rsidRPr="00557AAB">
              <w:rPr>
                <w:b/>
                <w:sz w:val="17"/>
                <w:szCs w:val="17"/>
                <w:u w:val="single"/>
              </w:rPr>
              <w:t xml:space="preserve"> </w:t>
            </w:r>
          </w:p>
          <w:p w:rsidR="008867A3" w:rsidRPr="00557AAB" w:rsidRDefault="008867A3" w:rsidP="0084316F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Ammoniac veineux sur glace</w:t>
            </w:r>
          </w:p>
          <w:p w:rsidR="008867A3" w:rsidRPr="00557AAB" w:rsidRDefault="008867A3" w:rsidP="0084316F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Osmolarité sanguine</w:t>
            </w:r>
          </w:p>
          <w:p w:rsidR="008867A3" w:rsidRPr="00557AAB" w:rsidRDefault="0084316F" w:rsidP="0084316F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Ionogramme, glycémie, gaz artériel, lactate</w:t>
            </w:r>
          </w:p>
          <w:p w:rsidR="0084316F" w:rsidRPr="00557AAB" w:rsidRDefault="0084316F" w:rsidP="0084316F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Fonction hépatique et rénale</w:t>
            </w:r>
          </w:p>
          <w:p w:rsidR="0084316F" w:rsidRPr="00557AAB" w:rsidRDefault="0084316F" w:rsidP="0084316F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FSC</w:t>
            </w:r>
          </w:p>
          <w:p w:rsidR="009C166B" w:rsidRPr="00557AAB" w:rsidRDefault="0084316F" w:rsidP="00557AAB">
            <w:pPr>
              <w:pStyle w:val="Sansinterligne"/>
              <w:ind w:left="284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Signes vitaux neurologique</w:t>
            </w:r>
            <w:r w:rsidR="00D9014A" w:rsidRPr="00557AAB">
              <w:rPr>
                <w:sz w:val="17"/>
                <w:szCs w:val="17"/>
              </w:rPr>
              <w:t>s</w:t>
            </w:r>
          </w:p>
        </w:tc>
        <w:tc>
          <w:tcPr>
            <w:tcW w:w="5479" w:type="dxa"/>
          </w:tcPr>
          <w:p w:rsidR="00557AAB" w:rsidRDefault="00557AAB" w:rsidP="00557AAB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8"/>
                <w:szCs w:val="20"/>
                <w:highlight w:val="yellow"/>
              </w:rPr>
            </w:pPr>
          </w:p>
          <w:p w:rsidR="008971C5" w:rsidRPr="00557AAB" w:rsidRDefault="005C3F5B" w:rsidP="00557AAB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Nausées, v</w:t>
            </w:r>
            <w:r w:rsidR="005C4E18" w:rsidRPr="00557AAB">
              <w:rPr>
                <w:sz w:val="17"/>
                <w:szCs w:val="17"/>
              </w:rPr>
              <w:t>omissements</w:t>
            </w:r>
          </w:p>
          <w:p w:rsidR="005C4E18" w:rsidRPr="00557AAB" w:rsidRDefault="008971C5" w:rsidP="005C4E1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P</w:t>
            </w:r>
            <w:r w:rsidR="003D179F" w:rsidRPr="00557AAB">
              <w:rPr>
                <w:sz w:val="17"/>
                <w:szCs w:val="17"/>
              </w:rPr>
              <w:t xml:space="preserve">ossibilité d’administrer </w:t>
            </w:r>
            <w:r w:rsidR="00557AAB" w:rsidRPr="00557AAB">
              <w:rPr>
                <w:sz w:val="17"/>
                <w:szCs w:val="17"/>
              </w:rPr>
              <w:t xml:space="preserve">un </w:t>
            </w:r>
            <w:r w:rsidRPr="00557AAB">
              <w:rPr>
                <w:sz w:val="17"/>
                <w:szCs w:val="17"/>
              </w:rPr>
              <w:t>a</w:t>
            </w:r>
            <w:r w:rsidR="003D179F" w:rsidRPr="00557AAB">
              <w:rPr>
                <w:sz w:val="17"/>
                <w:szCs w:val="17"/>
              </w:rPr>
              <w:t>ntiémétique durant la perfusion</w:t>
            </w:r>
          </w:p>
          <w:p w:rsidR="008971C5" w:rsidRPr="00557AAB" w:rsidRDefault="005C3F5B" w:rsidP="005C4E1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D</w:t>
            </w:r>
            <w:r w:rsidR="005C4E18" w:rsidRPr="00557AAB">
              <w:rPr>
                <w:sz w:val="17"/>
                <w:szCs w:val="17"/>
              </w:rPr>
              <w:t>iarrhées</w:t>
            </w:r>
          </w:p>
          <w:p w:rsidR="005C4E18" w:rsidRPr="00557AAB" w:rsidRDefault="005C4E18" w:rsidP="005C4E18">
            <w:pPr>
              <w:tabs>
                <w:tab w:val="left" w:pos="0"/>
                <w:tab w:val="left" w:pos="1620"/>
              </w:tabs>
              <w:spacing w:before="0" w:after="0"/>
              <w:ind w:left="-29" w:firstLine="29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Hyperglycémie</w:t>
            </w:r>
          </w:p>
          <w:p w:rsidR="005C4E18" w:rsidRPr="00557AAB" w:rsidRDefault="005C4E18" w:rsidP="0003631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Hypokaliémie</w:t>
            </w:r>
          </w:p>
          <w:p w:rsidR="005C4E18" w:rsidRPr="00557AAB" w:rsidRDefault="00557AAB" w:rsidP="0003631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S</w:t>
            </w:r>
            <w:r w:rsidR="005C4E18" w:rsidRPr="00557AAB">
              <w:rPr>
                <w:sz w:val="17"/>
                <w:szCs w:val="17"/>
              </w:rPr>
              <w:t xml:space="preserve">urcharge volumique </w:t>
            </w:r>
          </w:p>
          <w:p w:rsidR="00DE5E28" w:rsidRPr="00557AAB" w:rsidRDefault="00DE5E28" w:rsidP="00DE5E2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7"/>
                <w:szCs w:val="17"/>
              </w:rPr>
            </w:pPr>
            <w:proofErr w:type="spellStart"/>
            <w:r w:rsidRPr="00557AAB">
              <w:rPr>
                <w:sz w:val="17"/>
                <w:szCs w:val="17"/>
              </w:rPr>
              <w:t>Neurotoxicité</w:t>
            </w:r>
            <w:proofErr w:type="spellEnd"/>
            <w:r w:rsidRPr="00557AAB">
              <w:rPr>
                <w:sz w:val="17"/>
                <w:szCs w:val="17"/>
              </w:rPr>
              <w:t> :</w:t>
            </w:r>
          </w:p>
          <w:p w:rsidR="00DE5E28" w:rsidRPr="00557AAB" w:rsidRDefault="00DE5E28" w:rsidP="00DE5E2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284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 xml:space="preserve">Début rapide des symptômes à l’initiation du traitement </w:t>
            </w:r>
          </w:p>
          <w:p w:rsidR="00DE5E28" w:rsidRPr="00557AAB" w:rsidRDefault="00DE5E28" w:rsidP="00DE5E2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Somnolence, fatigue, étourdissements</w:t>
            </w:r>
          </w:p>
          <w:p w:rsidR="005F1CB0" w:rsidRPr="00557AAB" w:rsidRDefault="00DE5E28" w:rsidP="00DE5E2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 xml:space="preserve">Altération de l’état mental </w:t>
            </w:r>
          </w:p>
          <w:p w:rsidR="00DE5E28" w:rsidRPr="00557AAB" w:rsidRDefault="005F1CB0" w:rsidP="00DE5E2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C</w:t>
            </w:r>
            <w:r w:rsidRPr="00557AAB">
              <w:rPr>
                <w:sz w:val="17"/>
                <w:szCs w:val="17"/>
              </w:rPr>
              <w:t>onvulsions</w:t>
            </w:r>
          </w:p>
          <w:p w:rsidR="00557AAB" w:rsidRPr="00557AAB" w:rsidRDefault="00557AAB" w:rsidP="00557AAB">
            <w:pPr>
              <w:tabs>
                <w:tab w:val="left" w:pos="0"/>
                <w:tab w:val="left" w:pos="1620"/>
              </w:tabs>
              <w:spacing w:before="0" w:after="0"/>
              <w:ind w:left="-29" w:firstLine="29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Hyperventilation et acidose métabolique</w:t>
            </w:r>
          </w:p>
          <w:p w:rsidR="005D2783" w:rsidRPr="00557AAB" w:rsidRDefault="005D2783" w:rsidP="005D2783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Réaction au site d’injection</w:t>
            </w:r>
          </w:p>
          <w:p w:rsidR="005D2783" w:rsidRPr="00557AAB" w:rsidRDefault="005D2783" w:rsidP="005D2783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7"/>
                <w:szCs w:val="17"/>
              </w:rPr>
            </w:pPr>
          </w:p>
          <w:p w:rsidR="005D2783" w:rsidRPr="00557AAB" w:rsidRDefault="005D2783" w:rsidP="005F1CB0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b/>
                <w:sz w:val="17"/>
                <w:szCs w:val="17"/>
                <w:u w:val="single"/>
              </w:rPr>
            </w:pPr>
            <w:r w:rsidRPr="00557AAB">
              <w:rPr>
                <w:b/>
                <w:sz w:val="17"/>
                <w:szCs w:val="17"/>
                <w:u w:val="single"/>
              </w:rPr>
              <w:t>Plus rares :</w:t>
            </w:r>
          </w:p>
          <w:p w:rsidR="00036318" w:rsidRPr="00557AAB" w:rsidRDefault="00036318" w:rsidP="0003631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Hypotension</w:t>
            </w:r>
          </w:p>
          <w:p w:rsidR="003D179F" w:rsidRPr="00557AAB" w:rsidRDefault="003D179F" w:rsidP="008971C5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Anémie, CIVD</w:t>
            </w:r>
          </w:p>
          <w:p w:rsidR="00854191" w:rsidRPr="00557AAB" w:rsidRDefault="00DE5E28" w:rsidP="00053919">
            <w:pPr>
              <w:tabs>
                <w:tab w:val="left" w:pos="0"/>
                <w:tab w:val="left" w:pos="1620"/>
              </w:tabs>
              <w:spacing w:before="0" w:after="0"/>
              <w:ind w:left="-29" w:firstLine="29"/>
              <w:jc w:val="left"/>
              <w:rPr>
                <w:sz w:val="17"/>
                <w:szCs w:val="17"/>
              </w:rPr>
            </w:pPr>
            <w:proofErr w:type="spellStart"/>
            <w:r w:rsidRPr="00557AAB">
              <w:rPr>
                <w:sz w:val="17"/>
                <w:szCs w:val="17"/>
              </w:rPr>
              <w:t>H</w:t>
            </w:r>
            <w:r w:rsidR="00854191" w:rsidRPr="00557AAB">
              <w:rPr>
                <w:sz w:val="17"/>
                <w:szCs w:val="17"/>
              </w:rPr>
              <w:t>yperammon</w:t>
            </w:r>
            <w:bookmarkStart w:id="5" w:name="_GoBack"/>
            <w:bookmarkEnd w:id="5"/>
            <w:r w:rsidR="00854191" w:rsidRPr="00557AAB">
              <w:rPr>
                <w:sz w:val="17"/>
                <w:szCs w:val="17"/>
              </w:rPr>
              <w:t>iémie</w:t>
            </w:r>
            <w:proofErr w:type="spellEnd"/>
            <w:r w:rsidR="00854191" w:rsidRPr="00557AAB">
              <w:rPr>
                <w:sz w:val="17"/>
                <w:szCs w:val="17"/>
              </w:rPr>
              <w:t xml:space="preserve"> </w:t>
            </w:r>
          </w:p>
          <w:p w:rsidR="005C4E18" w:rsidRPr="00557AAB" w:rsidRDefault="00854191" w:rsidP="00053919">
            <w:pPr>
              <w:tabs>
                <w:tab w:val="left" w:pos="0"/>
                <w:tab w:val="left" w:pos="1620"/>
              </w:tabs>
              <w:spacing w:before="0" w:after="0"/>
              <w:ind w:left="-29" w:firstLine="29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H</w:t>
            </w:r>
            <w:r w:rsidR="005C4E18" w:rsidRPr="00557AAB">
              <w:rPr>
                <w:sz w:val="17"/>
                <w:szCs w:val="17"/>
              </w:rPr>
              <w:t>ypocalcémie</w:t>
            </w:r>
          </w:p>
          <w:p w:rsidR="005F1CB0" w:rsidRPr="00557AAB" w:rsidRDefault="005F1CB0" w:rsidP="005F1CB0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Infection urinaire</w:t>
            </w:r>
          </w:p>
          <w:p w:rsidR="005F1CB0" w:rsidRPr="00557AAB" w:rsidRDefault="005D2783" w:rsidP="008971C5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 xml:space="preserve">Rétention urinaire et </w:t>
            </w:r>
            <w:r w:rsidR="005F1CB0" w:rsidRPr="00557AAB">
              <w:rPr>
                <w:sz w:val="17"/>
                <w:szCs w:val="17"/>
              </w:rPr>
              <w:t xml:space="preserve">anurie </w:t>
            </w:r>
          </w:p>
          <w:p w:rsidR="00557AAB" w:rsidRPr="00557AAB" w:rsidRDefault="00557AAB" w:rsidP="00557AAB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Agitation</w:t>
            </w:r>
          </w:p>
          <w:p w:rsidR="005F1CB0" w:rsidRPr="00557AAB" w:rsidRDefault="005F1CB0" w:rsidP="005F1CB0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Œdème cérébral, com</w:t>
            </w:r>
            <w:r w:rsidRPr="00557AAB">
              <w:rPr>
                <w:sz w:val="17"/>
                <w:szCs w:val="17"/>
              </w:rPr>
              <w:t>a</w:t>
            </w:r>
          </w:p>
          <w:p w:rsidR="005F1CB0" w:rsidRPr="00557AAB" w:rsidRDefault="005F1CB0" w:rsidP="005F1CB0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  <w:r w:rsidRPr="00557AAB">
              <w:rPr>
                <w:sz w:val="17"/>
                <w:szCs w:val="17"/>
              </w:rPr>
              <w:t>Détresse respiratoire</w:t>
            </w:r>
          </w:p>
          <w:p w:rsidR="008971C5" w:rsidRPr="00557AAB" w:rsidRDefault="008971C5" w:rsidP="008971C5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jc w:val="left"/>
              <w:rPr>
                <w:sz w:val="17"/>
                <w:szCs w:val="17"/>
              </w:rPr>
            </w:pPr>
          </w:p>
          <w:p w:rsidR="008971C5" w:rsidRPr="00036318" w:rsidRDefault="008971C5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  <w:rPr>
                <w:sz w:val="20"/>
                <w:szCs w:val="20"/>
              </w:rPr>
            </w:pPr>
          </w:p>
        </w:tc>
      </w:tr>
    </w:tbl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347C8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elanie Gilbert" w:date="2025-12-03T13:07:00Z" w:initials="MG">
    <w:p w:rsidR="00DE5E28" w:rsidRDefault="00DE5E28">
      <w:pPr>
        <w:pStyle w:val="Commentaire"/>
      </w:pPr>
      <w:r>
        <w:rPr>
          <w:rStyle w:val="Marquedecommentaire"/>
        </w:rPr>
        <w:annotationRef/>
      </w:r>
      <w:r>
        <w:t>Doit-on filtrer ?</w:t>
      </w:r>
      <w:r w:rsidR="00557AAB">
        <w:t xml:space="preserve">  </w:t>
      </w:r>
      <w:proofErr w:type="spellStart"/>
      <w:r w:rsidR="00557AAB">
        <w:t>Ammonul</w:t>
      </w:r>
      <w:proofErr w:type="spellEnd"/>
      <w:r w:rsidR="00557AAB">
        <w:t xml:space="preserve"> nécessitant une filtration mais pas indication dans la monographie consultée</w:t>
      </w:r>
    </w:p>
  </w:comment>
  <w:comment w:id="1" w:author="Melanie Gilbert" w:date="2025-12-03T11:45:00Z" w:initials="MG">
    <w:p w:rsidR="00DE5E28" w:rsidRDefault="00DE5E28">
      <w:pPr>
        <w:pStyle w:val="Commentaire"/>
      </w:pPr>
      <w:r>
        <w:rPr>
          <w:rStyle w:val="Marquedecommentaire"/>
        </w:rPr>
        <w:annotationRef/>
      </w:r>
      <w:r>
        <w:t xml:space="preserve">Dans le doc de HSJ, tous les patients admis pour désordres du cycle de l’urée sont sous monitorage cardiaque continue + </w:t>
      </w:r>
      <w:proofErr w:type="spellStart"/>
      <w:r>
        <w:t>saturométrie</w:t>
      </w:r>
      <w:proofErr w:type="spellEnd"/>
      <w:r>
        <w:t>. A inscrire dans conditions particulières d’administration ?</w:t>
      </w:r>
    </w:p>
  </w:comment>
  <w:comment w:id="3" w:author="Melanie Gilbert" w:date="2025-12-03T11:35:00Z" w:initials="MG">
    <w:p w:rsidR="00DE5E28" w:rsidRDefault="00DE5E28">
      <w:pPr>
        <w:pStyle w:val="Commentaire"/>
      </w:pPr>
      <w:r>
        <w:rPr>
          <w:rStyle w:val="Marquedecommentaire"/>
        </w:rPr>
        <w:annotationRef/>
      </w:r>
      <w:r>
        <w:t xml:space="preserve">Figure sur </w:t>
      </w:r>
      <w:proofErr w:type="spellStart"/>
      <w:r>
        <w:t>opi</w:t>
      </w:r>
      <w:proofErr w:type="spellEnd"/>
      <w:r>
        <w:t xml:space="preserve"> HSJ </w:t>
      </w:r>
    </w:p>
  </w:comment>
  <w:comment w:id="4" w:author="Melanie Gilbert" w:date="2025-12-03T11:40:00Z" w:initials="MG">
    <w:p w:rsidR="00DE5E28" w:rsidRDefault="00DE5E28">
      <w:pPr>
        <w:pStyle w:val="Commentaire"/>
      </w:pPr>
      <w:r>
        <w:rPr>
          <w:rStyle w:val="Marquedecommentaire"/>
        </w:rPr>
        <w:annotationRef/>
      </w:r>
      <w:r>
        <w:t xml:space="preserve">Dans le doc de HSJ, c’est q2h X 3 puis réévaluer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28" w:rsidRDefault="00DE5E28" w:rsidP="008F3D94">
      <w:pPr>
        <w:spacing w:after="0" w:line="240" w:lineRule="auto"/>
      </w:pPr>
      <w:r>
        <w:separator/>
      </w:r>
    </w:p>
  </w:endnote>
  <w:endnote w:type="continuationSeparator" w:id="0">
    <w:p w:rsidR="00DE5E28" w:rsidRDefault="00DE5E28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28" w:rsidRPr="006D1CD5" w:rsidRDefault="00DE5E28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 w:rsidRPr="00174E60">
      <w:rPr>
        <w:color w:val="595959" w:themeColor="text1" w:themeTint="A6"/>
      </w:rPr>
      <w:t>Rév</w:t>
    </w:r>
    <w:proofErr w:type="spellEnd"/>
    <w:r w:rsidRPr="00174E60">
      <w:rPr>
        <w:color w:val="595959" w:themeColor="text1" w:themeTint="A6"/>
      </w:rPr>
      <w:t xml:space="preserve">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557AAB">
      <w:rPr>
        <w:b/>
        <w:noProof/>
      </w:rPr>
      <w:t>202</w:t>
    </w:r>
    <w:r>
      <w:rPr>
        <w:b/>
        <w:noProof/>
      </w:rPr>
      <w:t>5-12-03 10:44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557AAB" w:rsidRPr="00557AAB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557AAB" w:rsidRPr="00557AAB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28" w:rsidRDefault="00DE5E28" w:rsidP="008F3D94">
      <w:pPr>
        <w:spacing w:after="0" w:line="240" w:lineRule="auto"/>
      </w:pPr>
      <w:r>
        <w:separator/>
      </w:r>
    </w:p>
  </w:footnote>
  <w:footnote w:type="continuationSeparator" w:id="0">
    <w:p w:rsidR="00DE5E28" w:rsidRDefault="00DE5E28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28" w:rsidRDefault="00DE5E2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8188" w:type="dxa"/>
      <w:tblLook w:val="04A0" w:firstRow="1" w:lastRow="0" w:firstColumn="1" w:lastColumn="0" w:noHBand="0" w:noVBand="1"/>
    </w:tblPr>
    <w:tblGrid>
      <w:gridCol w:w="4394"/>
    </w:tblGrid>
    <w:tr w:rsidR="00DE5E28" w:rsidRPr="00A426B2" w:rsidTr="001E2F58">
      <w:tc>
        <w:tcPr>
          <w:tcW w:w="4394" w:type="dxa"/>
        </w:tcPr>
        <w:p w:rsidR="00DE5E28" w:rsidRDefault="00DE5E28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19E64A5" wp14:editId="1487ED1A">
                    <wp:simplePos x="0" y="0"/>
                    <wp:positionH relativeFrom="column">
                      <wp:posOffset>-5485476</wp:posOffset>
                    </wp:positionH>
                    <wp:positionV relativeFrom="paragraph">
                      <wp:posOffset>37985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DE5E28" w:rsidRPr="00D0070B" w:rsidRDefault="00DE5E28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31.95pt;margin-top:3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FS5CMN4AAAAKAQAADwAAAGRycy9k&#10;b3ducmV2LnhtbEyPTU+DQBCG7yb+h82YeKO71UoAGRqj8aqxfiTetjAFIjtL2G3Bf+940uNknrzv&#10;85bbxQ3qRFPoPSOsVwYUce2bnluEt9fHJAMVouXGDp4J4ZsCbKvzs9IWjZ/5hU672CoJ4VBYhC7G&#10;sdA61B05G1Z+JJbfwU/ORjmnVjeTnSXcDfrKmFQ727M0dHak+47qr93RIbw/HT4/Nua5fXA34+wX&#10;o9nlGvHyYrm7BRVpiX8w/OqLOlTitPdHboIaEJIsvc6FRUhlkwBJavI1qD1Clm9AV6X+P6H6AQAA&#10;//8DAFBLAQItABQABgAIAAAAIQC2gziS/gAAAOEBAAATAAAAAAAAAAAAAAAAAAAAAABbQ29udGVu&#10;dF9UeXBlc10ueG1sUEsBAi0AFAAGAAgAAAAhADj9If/WAAAAlAEAAAsAAAAAAAAAAAAAAAAALwEA&#10;AF9yZWxzLy5yZWxzUEsBAi0AFAAGAAgAAAAhAOJmkZowAgAAWwQAAA4AAAAAAAAAAAAAAAAALgIA&#10;AGRycy9lMm9Eb2MueG1sUEsBAi0AFAAGAAgAAAAhABUuQjDeAAAACgEAAA8AAAAAAAAAAAAAAAAA&#10;igQAAGRycy9kb3ducmV2LnhtbFBLBQYAAAAABAAEAPMAAACVBQAAAAA=&#10;" filled="f" stroked="f">
                    <v:textbox>
                      <w:txbxContent>
                        <w:p w:rsidR="00DE5E28" w:rsidRPr="00D0070B" w:rsidRDefault="00DE5E28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3D9FCC25" wp14:editId="36678F25">
                <wp:simplePos x="0" y="0"/>
                <wp:positionH relativeFrom="column">
                  <wp:posOffset>-255905</wp:posOffset>
                </wp:positionH>
                <wp:positionV relativeFrom="paragraph">
                  <wp:posOffset>-132080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DE5E28" w:rsidRDefault="00DE5E28" w:rsidP="00350C6F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Médicament disponible via le programme d’accès spécial de Santé Canada. </w:t>
          </w:r>
        </w:p>
        <w:p w:rsidR="00DE5E28" w:rsidRPr="00A426B2" w:rsidRDefault="00DE5E28" w:rsidP="00350C6F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Monitorage cardiaque </w:t>
          </w:r>
        </w:p>
      </w:tc>
    </w:tr>
  </w:tbl>
  <w:p w:rsidR="00DE5E28" w:rsidRDefault="00DE5E28" w:rsidP="006D1CD5">
    <w:pPr>
      <w:spacing w:before="0" w:after="0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DE5E28" w:rsidTr="0084316F">
      <w:trPr>
        <w:trHeight w:val="454"/>
      </w:trPr>
      <w:tc>
        <w:tcPr>
          <w:tcW w:w="93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5E28" w:rsidRPr="00875AFE" w:rsidRDefault="00DE5E28" w:rsidP="00350C6F">
          <w:pPr>
            <w:spacing w:after="0"/>
            <w:jc w:val="left"/>
            <w:rPr>
              <w:b/>
              <w:color w:val="339966"/>
              <w:sz w:val="32"/>
            </w:rPr>
          </w:pPr>
          <w:r>
            <w:rPr>
              <w:rStyle w:val="Style7"/>
            </w:rPr>
            <w:t>Phénylacétate de sodium/Benzoate de sodium</w:t>
          </w:r>
        </w:p>
      </w:tc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5E28" w:rsidRPr="00701F50" w:rsidRDefault="00DE5E28" w:rsidP="0084316F">
          <w:pPr>
            <w:spacing w:after="0"/>
            <w:jc w:val="left"/>
            <w:rPr>
              <w:b/>
              <w:sz w:val="24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78720" behindDoc="0" locked="1" layoutInCell="1" allowOverlap="1" wp14:anchorId="3DEB40E7" wp14:editId="0525BC2F">
                <wp:simplePos x="0" y="0"/>
                <wp:positionH relativeFrom="column">
                  <wp:posOffset>1519555</wp:posOffset>
                </wp:positionH>
                <wp:positionV relativeFrom="paragraph">
                  <wp:posOffset>-541655</wp:posOffset>
                </wp:positionV>
                <wp:extent cx="753110" cy="739775"/>
                <wp:effectExtent l="57150" t="95250" r="294640" b="2889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E5E28" w:rsidRPr="00891BD4" w:rsidRDefault="00DE5E28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437"/>
      <w:gridCol w:w="5050"/>
      <w:gridCol w:w="284"/>
      <w:gridCol w:w="2268"/>
      <w:gridCol w:w="4061"/>
    </w:tblGrid>
    <w:tr w:rsidR="00DE5E28" w:rsidRPr="00991F8D" w:rsidTr="002A1974">
      <w:trPr>
        <w:trHeight w:val="454"/>
      </w:trPr>
      <w:tc>
        <w:tcPr>
          <w:tcW w:w="1437" w:type="dxa"/>
          <w:tcBorders>
            <w:top w:val="nil"/>
            <w:left w:val="nil"/>
            <w:bottom w:val="nil"/>
            <w:right w:val="nil"/>
          </w:tcBorders>
        </w:tcPr>
        <w:p w:rsidR="00DE5E28" w:rsidRPr="00991F8D" w:rsidRDefault="00DE5E28" w:rsidP="006347C8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50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5E28" w:rsidRPr="005308E7" w:rsidRDefault="00DE5E28" w:rsidP="0084316F">
          <w:pPr>
            <w:spacing w:before="120" w:after="0"/>
            <w:jc w:val="left"/>
            <w:rPr>
              <w:rFonts w:cstheme="minorHAnsi"/>
              <w:sz w:val="24"/>
              <w:szCs w:val="24"/>
            </w:rPr>
          </w:pPr>
          <w:proofErr w:type="spellStart"/>
          <w:r w:rsidRPr="00350C6F">
            <w:rPr>
              <w:rFonts w:cstheme="minorHAnsi"/>
              <w:sz w:val="20"/>
              <w:szCs w:val="24"/>
            </w:rPr>
            <w:t>Hyperammoniémie</w:t>
          </w:r>
          <w:proofErr w:type="spellEnd"/>
          <w:r w:rsidRPr="00350C6F">
            <w:rPr>
              <w:rFonts w:cstheme="minorHAnsi"/>
              <w:sz w:val="20"/>
              <w:szCs w:val="24"/>
            </w:rPr>
            <w:t xml:space="preserve"> as</w:t>
          </w:r>
          <w:r>
            <w:rPr>
              <w:rFonts w:cstheme="minorHAnsi"/>
              <w:sz w:val="20"/>
              <w:szCs w:val="24"/>
            </w:rPr>
            <w:t>sociée aux troubles du cycle de l’urée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E5E28" w:rsidRPr="002A1974" w:rsidRDefault="00DE5E28" w:rsidP="0084316F">
          <w:pPr>
            <w:spacing w:before="120" w:after="0"/>
            <w:jc w:val="left"/>
            <w:rPr>
              <w:rFonts w:cstheme="minorHAnsi"/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DE5E28" w:rsidRPr="002A1974" w:rsidRDefault="00DE5E28" w:rsidP="006347C8">
          <w:pPr>
            <w:spacing w:before="120" w:after="0"/>
            <w:jc w:val="left"/>
            <w:rPr>
              <w:rFonts w:cstheme="minorHAnsi"/>
              <w:b/>
              <w:color w:val="00B050"/>
            </w:rPr>
          </w:pPr>
          <w:r w:rsidRPr="002A1974">
            <w:rPr>
              <w:rFonts w:cstheme="minorHAnsi"/>
              <w:b/>
            </w:rPr>
            <w:t>Classe thérapeutique</w:t>
          </w:r>
          <w:r w:rsidRPr="002A1974">
            <w:rPr>
              <w:rFonts w:cstheme="minorHAnsi"/>
            </w:rPr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E5E28" w:rsidRPr="005308E7" w:rsidRDefault="00DE5E28" w:rsidP="0084316F">
          <w:pPr>
            <w:spacing w:before="120" w:after="0"/>
            <w:jc w:val="left"/>
            <w:rPr>
              <w:rFonts w:cstheme="minorHAnsi"/>
              <w:sz w:val="24"/>
              <w:szCs w:val="24"/>
            </w:rPr>
          </w:pPr>
          <w:r w:rsidRPr="00350C6F">
            <w:rPr>
              <w:rFonts w:cstheme="minorHAnsi"/>
              <w:sz w:val="20"/>
              <w:szCs w:val="24"/>
            </w:rPr>
            <w:t>Balance hydrique, électrolytique et calorique.</w:t>
          </w:r>
        </w:p>
      </w:tc>
    </w:tr>
  </w:tbl>
  <w:p w:rsidR="00DE5E28" w:rsidRPr="00557AAB" w:rsidRDefault="00DE5E28" w:rsidP="005308E7">
    <w:pPr>
      <w:spacing w:before="0" w:after="0"/>
      <w:jc w:val="left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28" w:rsidRDefault="00DE5E2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E335F83"/>
    <w:multiLevelType w:val="hybridMultilevel"/>
    <w:tmpl w:val="D33674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2FC063C"/>
    <w:multiLevelType w:val="hybridMultilevel"/>
    <w:tmpl w:val="5E94DE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6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8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90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5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9"/>
  </w:num>
  <w:num w:numId="89">
    <w:abstractNumId w:val="6"/>
  </w:num>
  <w:num w:numId="90">
    <w:abstractNumId w:val="87"/>
  </w:num>
  <w:num w:numId="91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0F"/>
    <w:rsid w:val="00001465"/>
    <w:rsid w:val="00001DBE"/>
    <w:rsid w:val="00002AF7"/>
    <w:rsid w:val="00002E89"/>
    <w:rsid w:val="00004930"/>
    <w:rsid w:val="00005035"/>
    <w:rsid w:val="00012765"/>
    <w:rsid w:val="00013F91"/>
    <w:rsid w:val="0001492A"/>
    <w:rsid w:val="00027FE3"/>
    <w:rsid w:val="000323DE"/>
    <w:rsid w:val="0003383A"/>
    <w:rsid w:val="00035D0E"/>
    <w:rsid w:val="00036318"/>
    <w:rsid w:val="0004325D"/>
    <w:rsid w:val="00047020"/>
    <w:rsid w:val="00047224"/>
    <w:rsid w:val="00053543"/>
    <w:rsid w:val="00053919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E2F58"/>
    <w:rsid w:val="001F4F7F"/>
    <w:rsid w:val="001F6D3C"/>
    <w:rsid w:val="00200224"/>
    <w:rsid w:val="0021176A"/>
    <w:rsid w:val="00211974"/>
    <w:rsid w:val="002239D5"/>
    <w:rsid w:val="002248BF"/>
    <w:rsid w:val="00231703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2736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A1974"/>
    <w:rsid w:val="002A5986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473DD"/>
    <w:rsid w:val="00350C6F"/>
    <w:rsid w:val="00352774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0CFC"/>
    <w:rsid w:val="003C5531"/>
    <w:rsid w:val="003D179F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1A0F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08E7"/>
    <w:rsid w:val="005356C9"/>
    <w:rsid w:val="00541BE8"/>
    <w:rsid w:val="00547F4D"/>
    <w:rsid w:val="0055085E"/>
    <w:rsid w:val="00552331"/>
    <w:rsid w:val="00555E3C"/>
    <w:rsid w:val="00556A0B"/>
    <w:rsid w:val="00557204"/>
    <w:rsid w:val="00557AAB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C3F5B"/>
    <w:rsid w:val="005C4E18"/>
    <w:rsid w:val="005D2783"/>
    <w:rsid w:val="005D27E4"/>
    <w:rsid w:val="005D2C9A"/>
    <w:rsid w:val="005D4E23"/>
    <w:rsid w:val="005D6F94"/>
    <w:rsid w:val="005E154E"/>
    <w:rsid w:val="005E47A3"/>
    <w:rsid w:val="005F1CB0"/>
    <w:rsid w:val="006008D6"/>
    <w:rsid w:val="006042A3"/>
    <w:rsid w:val="0060668F"/>
    <w:rsid w:val="0061175F"/>
    <w:rsid w:val="00611B53"/>
    <w:rsid w:val="00617FAD"/>
    <w:rsid w:val="0063229D"/>
    <w:rsid w:val="00633C39"/>
    <w:rsid w:val="006347C8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4688A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373B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0138C"/>
    <w:rsid w:val="008159C6"/>
    <w:rsid w:val="0082374A"/>
    <w:rsid w:val="008262EF"/>
    <w:rsid w:val="00827F99"/>
    <w:rsid w:val="00834B7D"/>
    <w:rsid w:val="00837AB3"/>
    <w:rsid w:val="0084316F"/>
    <w:rsid w:val="00843E30"/>
    <w:rsid w:val="00854191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867A3"/>
    <w:rsid w:val="00891124"/>
    <w:rsid w:val="008917BD"/>
    <w:rsid w:val="00891BD4"/>
    <w:rsid w:val="0089228D"/>
    <w:rsid w:val="008943A4"/>
    <w:rsid w:val="008957D9"/>
    <w:rsid w:val="008971C5"/>
    <w:rsid w:val="008A776B"/>
    <w:rsid w:val="008A7DFB"/>
    <w:rsid w:val="008B2C12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0148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C166B"/>
    <w:rsid w:val="009D296A"/>
    <w:rsid w:val="009D7F3E"/>
    <w:rsid w:val="009E3AEA"/>
    <w:rsid w:val="009E75BF"/>
    <w:rsid w:val="009E78AB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43BB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17BC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D5FE0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4596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014A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E5E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0AF9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40A5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1A38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90A5249B4403E93B6F9521A63C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79266-D8F6-4005-B440-9BFCC667C0DA}"/>
      </w:docPartPr>
      <w:docPartBody>
        <w:p w:rsidR="00854B1A" w:rsidRDefault="00854B1A">
          <w:pPr>
            <w:pStyle w:val="C8790A5249B4403E93B6F9521A63C88E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91852B543548E2843E3E8D2A448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08BD-ABEC-4D1B-9103-6400510CB95C}"/>
      </w:docPartPr>
      <w:docPartBody>
        <w:p w:rsidR="00854B1A" w:rsidRDefault="00854B1A">
          <w:pPr>
            <w:pStyle w:val="9E91852B543548E2843E3E8D2A4483CB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7F447CC416449AA891E1C87023C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55516-B35E-4B32-8E7B-0B5CA0AE1B1E}"/>
      </w:docPartPr>
      <w:docPartBody>
        <w:p w:rsidR="00854B1A" w:rsidRDefault="00854B1A">
          <w:pPr>
            <w:pStyle w:val="047F447CC416449AA891E1C87023C49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4E35D25BB244F2940EA030E0E3B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51D8-63FD-400E-8063-725A483568A4}"/>
      </w:docPartPr>
      <w:docPartBody>
        <w:p w:rsidR="00854B1A" w:rsidRDefault="00854B1A">
          <w:pPr>
            <w:pStyle w:val="754E35D25BB244F2940EA030E0E3BA3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1A"/>
    <w:rsid w:val="00854B1A"/>
    <w:rsid w:val="009D1539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43A1-6BB3-4D27-96B6-458E24F7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Melanie Gilbert</cp:lastModifiedBy>
  <cp:revision>2</cp:revision>
  <cp:lastPrinted>2019-03-06T19:59:00Z</cp:lastPrinted>
  <dcterms:created xsi:type="dcterms:W3CDTF">2025-12-03T18:16:00Z</dcterms:created>
  <dcterms:modified xsi:type="dcterms:W3CDTF">2025-12-03T18:16:00Z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