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383A70" w:rsidP="00891BD4">
      <w:pPr>
        <w:spacing w:before="0" w:after="0"/>
        <w:rPr>
          <w:color w:val="FF000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2268"/>
        <w:gridCol w:w="2410"/>
        <w:gridCol w:w="2126"/>
        <w:gridCol w:w="1586"/>
      </w:tblGrid>
      <w:tr w:rsidR="008F6460" w:rsidRPr="00E9602C" w:rsidTr="00C14B2E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C14B2E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410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C14B2E" w:rsidRPr="00E9602C" w:rsidTr="00A510B3">
        <w:trPr>
          <w:trHeight w:val="1080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14B2E" w:rsidRDefault="00C14B2E" w:rsidP="00C14B2E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Fiole </w:t>
            </w:r>
            <w:proofErr w:type="spellStart"/>
            <w:r>
              <w:rPr>
                <w:sz w:val="20"/>
              </w:rPr>
              <w:t>unidose</w:t>
            </w:r>
            <w:proofErr w:type="spellEnd"/>
            <w:r>
              <w:rPr>
                <w:sz w:val="20"/>
              </w:rPr>
              <w:t xml:space="preserve"> </w:t>
            </w:r>
          </w:p>
          <w:p w:rsidR="00C14B2E" w:rsidRPr="00664B42" w:rsidRDefault="00C14B2E" w:rsidP="00C14B2E">
            <w:pPr>
              <w:pStyle w:val="Sansinterligne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300 mg/2 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14B2E" w:rsidRDefault="00A510B3" w:rsidP="00A510B3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Déjà dilué </w:t>
            </w:r>
          </w:p>
          <w:p w:rsidR="00A510B3" w:rsidRDefault="00A510B3" w:rsidP="00A510B3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A510B3" w:rsidRPr="00A510B3" w:rsidRDefault="00A510B3" w:rsidP="00A510B3">
            <w:pPr>
              <w:pStyle w:val="Sansinterlign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 pas agiter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14B2E" w:rsidRDefault="00C14B2E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>150 mg/</w:t>
            </w:r>
            <w:proofErr w:type="spellStart"/>
            <w:r w:rsidRPr="00FA6409">
              <w:rPr>
                <w:sz w:val="20"/>
                <w:szCs w:val="20"/>
              </w:rPr>
              <w:t>mL</w:t>
            </w:r>
            <w:proofErr w:type="spellEnd"/>
          </w:p>
          <w:p w:rsidR="00A510B3" w:rsidRDefault="00A510B3" w:rsidP="00C14B2E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A510B3" w:rsidRPr="00FA6409" w:rsidRDefault="00A510B3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Solution incolore à jaune pâle 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14B2E" w:rsidRPr="00FA6409" w:rsidRDefault="00C14B2E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300 mg (2 </w:t>
            </w:r>
            <w:proofErr w:type="spellStart"/>
            <w:r w:rsidRPr="00FA6409">
              <w:rPr>
                <w:sz w:val="20"/>
                <w:szCs w:val="20"/>
              </w:rPr>
              <w:t>mL</w:t>
            </w:r>
            <w:proofErr w:type="spellEnd"/>
            <w:r w:rsidRPr="00FA6409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C14B2E" w:rsidRDefault="00EF1652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Dans </w:t>
            </w:r>
            <w:r w:rsidR="00F824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de NS</w:t>
            </w:r>
          </w:p>
          <w:p w:rsidR="00EF1652" w:rsidRDefault="00EF1652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final de</w:t>
            </w:r>
            <w:r w:rsidR="00F8240E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</w:p>
          <w:p w:rsidR="00EF1652" w:rsidRPr="00FA6409" w:rsidRDefault="00EF1652" w:rsidP="00C14B2E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C14B2E" w:rsidRDefault="00C14B2E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>C</w:t>
            </w:r>
            <w:r w:rsidR="00EF1652">
              <w:rPr>
                <w:sz w:val="20"/>
                <w:szCs w:val="20"/>
              </w:rPr>
              <w:t xml:space="preserve">oncentration de </w:t>
            </w:r>
            <w:r w:rsidR="00F8240E">
              <w:rPr>
                <w:sz w:val="20"/>
                <w:szCs w:val="20"/>
              </w:rPr>
              <w:t>6</w:t>
            </w:r>
            <w:r w:rsidRPr="00FA6409">
              <w:rPr>
                <w:sz w:val="20"/>
                <w:szCs w:val="20"/>
              </w:rPr>
              <w:t xml:space="preserve"> mg/</w:t>
            </w:r>
            <w:proofErr w:type="spellStart"/>
            <w:r w:rsidRPr="00FA6409">
              <w:rPr>
                <w:sz w:val="20"/>
                <w:szCs w:val="20"/>
              </w:rPr>
              <w:t>mL</w:t>
            </w:r>
            <w:proofErr w:type="spellEnd"/>
          </w:p>
          <w:p w:rsidR="00EF1652" w:rsidRDefault="00EF1652" w:rsidP="00C14B2E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EF1652" w:rsidRDefault="00EF1652" w:rsidP="00C14B2E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Mélanger en renversant délicatement</w:t>
            </w:r>
          </w:p>
          <w:p w:rsidR="00A510B3" w:rsidRDefault="00A510B3" w:rsidP="00C14B2E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EF1652" w:rsidRPr="00A510B3" w:rsidRDefault="00EF1652" w:rsidP="00C14B2E">
            <w:pPr>
              <w:pStyle w:val="Sansinterligne"/>
              <w:jc w:val="left"/>
              <w:rPr>
                <w:b/>
                <w:sz w:val="20"/>
                <w:szCs w:val="20"/>
              </w:rPr>
            </w:pPr>
            <w:r w:rsidRPr="00A510B3">
              <w:rPr>
                <w:b/>
                <w:sz w:val="20"/>
                <w:szCs w:val="20"/>
              </w:rPr>
              <w:t xml:space="preserve">Ne pas agiter 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14B2E" w:rsidRPr="00FA6409" w:rsidRDefault="00FA6409" w:rsidP="00FA6409">
            <w:pPr>
              <w:pStyle w:val="Sansinterligne"/>
              <w:jc w:val="lef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En 30 minutes </w:t>
            </w:r>
          </w:p>
          <w:p w:rsidR="00FA6409" w:rsidRPr="00FA6409" w:rsidRDefault="00FA6409" w:rsidP="00FA6409">
            <w:pPr>
              <w:pStyle w:val="Sansinterligne"/>
              <w:jc w:val="left"/>
              <w:rPr>
                <w:sz w:val="20"/>
                <w:szCs w:val="20"/>
              </w:rPr>
            </w:pPr>
          </w:p>
          <w:p w:rsidR="00FA6409" w:rsidRPr="00FA6409" w:rsidRDefault="00FA6409" w:rsidP="00FA6409">
            <w:pPr>
              <w:pStyle w:val="Defaul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>T</w:t>
            </w:r>
            <w:r w:rsidRPr="00FA6409">
              <w:rPr>
                <w:sz w:val="20"/>
                <w:szCs w:val="20"/>
              </w:rPr>
              <w:t xml:space="preserve">ubulure avec filtre de 0.2 microns </w:t>
            </w:r>
            <w:r w:rsidR="00EF1652">
              <w:rPr>
                <w:sz w:val="20"/>
                <w:szCs w:val="20"/>
              </w:rPr>
              <w:t xml:space="preserve">et faible liaison protéique </w:t>
            </w:r>
          </w:p>
          <w:p w:rsidR="00FA6409" w:rsidRPr="00FA6409" w:rsidRDefault="00FA6409" w:rsidP="00FA6409">
            <w:pPr>
              <w:pStyle w:val="Default"/>
              <w:rPr>
                <w:sz w:val="20"/>
                <w:szCs w:val="20"/>
              </w:rPr>
            </w:pPr>
          </w:p>
          <w:p w:rsidR="00FA6409" w:rsidRPr="00FA6409" w:rsidRDefault="00FA6409" w:rsidP="00FA6409">
            <w:pPr>
              <w:pStyle w:val="Defaul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Rincer </w:t>
            </w:r>
            <w:r>
              <w:rPr>
                <w:sz w:val="20"/>
                <w:szCs w:val="20"/>
              </w:rPr>
              <w:t xml:space="preserve">la tubulure </w:t>
            </w:r>
            <w:r w:rsidRPr="00FA6409">
              <w:rPr>
                <w:sz w:val="20"/>
                <w:szCs w:val="20"/>
              </w:rPr>
              <w:t xml:space="preserve">avec 25 </w:t>
            </w:r>
            <w:proofErr w:type="spellStart"/>
            <w:r w:rsidRPr="00FA6409">
              <w:rPr>
                <w:sz w:val="20"/>
                <w:szCs w:val="20"/>
              </w:rPr>
              <w:t>mL</w:t>
            </w:r>
            <w:proofErr w:type="spellEnd"/>
            <w:r w:rsidRPr="00FA6409">
              <w:rPr>
                <w:sz w:val="20"/>
                <w:szCs w:val="20"/>
              </w:rPr>
              <w:t xml:space="preserve"> </w:t>
            </w:r>
            <w:r w:rsidRPr="00FA6409">
              <w:rPr>
                <w:sz w:val="20"/>
                <w:szCs w:val="20"/>
              </w:rPr>
              <w:t>de NS à la fin de la perfusion</w:t>
            </w:r>
          </w:p>
          <w:p w:rsidR="00FA6409" w:rsidRPr="00FA6409" w:rsidRDefault="00FA6409" w:rsidP="00FA6409">
            <w:pPr>
              <w:pStyle w:val="Sansinterligne"/>
              <w:jc w:val="left"/>
              <w:rPr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14B2E" w:rsidRPr="00664B42" w:rsidRDefault="00A510B3" w:rsidP="00C14B2E">
            <w:pPr>
              <w:pStyle w:val="Sansinterligne"/>
              <w:jc w:val="lef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Si la solution a été conservée au frigo, la laisser atteindre la température ambiante avant l’administration </w:t>
            </w:r>
          </w:p>
        </w:tc>
      </w:tr>
      <w:tr w:rsidR="00C14B2E" w:rsidRPr="00E9602C" w:rsidTr="00C14B2E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C14B2E" w:rsidRPr="00FA6409" w:rsidRDefault="00C14B2E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FA6409">
              <w:rPr>
                <w:rFonts w:cstheme="minorHAnsi"/>
                <w:sz w:val="20"/>
                <w:szCs w:val="20"/>
              </w:rPr>
              <w:t>Conservation :</w:t>
            </w:r>
          </w:p>
          <w:p w:rsidR="00FA6409" w:rsidRPr="00FA6409" w:rsidRDefault="00FA6409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Frigo </w:t>
            </w:r>
          </w:p>
          <w:p w:rsidR="00C14B2E" w:rsidRPr="00C14B2E" w:rsidRDefault="00C14B2E" w:rsidP="00675BDF">
            <w:pPr>
              <w:pStyle w:val="Sansinterligne"/>
              <w:jc w:val="left"/>
              <w:rPr>
                <w:sz w:val="21"/>
                <w:szCs w:val="21"/>
                <w:highlight w:val="yellow"/>
              </w:rPr>
            </w:pPr>
            <w:r w:rsidRPr="00EF1652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14B2E" w:rsidRPr="00E9602C" w:rsidRDefault="00C14B2E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14B2E" w:rsidRPr="00E9602C" w:rsidRDefault="00C14B2E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C14B2E" w:rsidRPr="00E9602C" w:rsidRDefault="00C14B2E" w:rsidP="00774376">
            <w:pPr>
              <w:keepNext/>
              <w:jc w:val="lef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14B2E" w:rsidRPr="00E9602C" w:rsidRDefault="00C14B2E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14B2E" w:rsidRPr="00E9602C" w:rsidRDefault="00C14B2E" w:rsidP="0065712B">
            <w:pPr>
              <w:keepNext/>
              <w:jc w:val="left"/>
            </w:pPr>
          </w:p>
        </w:tc>
        <w:tc>
          <w:tcPr>
            <w:tcW w:w="1586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C14B2E" w:rsidRPr="00E9602C" w:rsidRDefault="00C14B2E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FA6409" w:rsidRDefault="00A05B64" w:rsidP="0065712B">
      <w:pPr>
        <w:spacing w:before="240"/>
        <w:jc w:val="left"/>
        <w:rPr>
          <w:b/>
          <w:sz w:val="20"/>
        </w:rPr>
      </w:pPr>
      <w:r w:rsidRPr="00FA6409">
        <w:rPr>
          <w:b/>
          <w:sz w:val="20"/>
        </w:rPr>
        <w:t>Stabilité</w:t>
      </w:r>
      <w:r w:rsidR="00711A64" w:rsidRPr="00FA6409">
        <w:rPr>
          <w:b/>
          <w:sz w:val="20"/>
        </w:rPr>
        <w:t xml:space="preserve"> pour une préparation à l’unité de soins</w:t>
      </w:r>
      <w:r w:rsidRPr="00FA6409">
        <w:rPr>
          <w:b/>
          <w:sz w:val="20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FA6409" w:rsidTr="007E4696">
        <w:trPr>
          <w:trHeight w:val="397"/>
        </w:trPr>
        <w:tc>
          <w:tcPr>
            <w:tcW w:w="1526" w:type="dxa"/>
            <w:vAlign w:val="center"/>
          </w:tcPr>
          <w:p w:rsidR="00306654" w:rsidRPr="00FA6409" w:rsidRDefault="00306654" w:rsidP="009854CA">
            <w:pPr>
              <w:spacing w:after="0"/>
              <w:jc w:val="left"/>
              <w:rPr>
                <w:sz w:val="20"/>
              </w:rPr>
            </w:pPr>
            <w:r w:rsidRPr="00FA6409">
              <w:rPr>
                <w:sz w:val="20"/>
              </w:rPr>
              <w:t>Fiole utilisée :</w:t>
            </w:r>
          </w:p>
        </w:tc>
        <w:tc>
          <w:tcPr>
            <w:tcW w:w="11650" w:type="dxa"/>
            <w:vAlign w:val="center"/>
          </w:tcPr>
          <w:p w:rsidR="00306654" w:rsidRPr="00FA6409" w:rsidRDefault="00A510B3" w:rsidP="00FA6409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Jeter toute portion inutilisée </w:t>
            </w:r>
          </w:p>
        </w:tc>
      </w:tr>
      <w:tr w:rsidR="00306654" w:rsidRPr="00FA6409" w:rsidTr="007E4696">
        <w:trPr>
          <w:trHeight w:val="397"/>
        </w:trPr>
        <w:tc>
          <w:tcPr>
            <w:tcW w:w="1526" w:type="dxa"/>
            <w:vAlign w:val="center"/>
          </w:tcPr>
          <w:p w:rsidR="00306654" w:rsidRPr="00FA6409" w:rsidRDefault="00494B0D" w:rsidP="0030659A">
            <w:pPr>
              <w:spacing w:after="0"/>
              <w:ind w:right="-533"/>
              <w:jc w:val="left"/>
              <w:rPr>
                <w:sz w:val="20"/>
              </w:rPr>
            </w:pPr>
            <w:r w:rsidRPr="00FA6409">
              <w:rPr>
                <w:sz w:val="20"/>
              </w:rPr>
              <w:t>Sac </w:t>
            </w:r>
            <w:r w:rsidR="00306654" w:rsidRPr="00FA6409">
              <w:rPr>
                <w:sz w:val="20"/>
              </w:rPr>
              <w:t xml:space="preserve">: </w:t>
            </w:r>
          </w:p>
        </w:tc>
        <w:sdt>
          <w:sdtPr>
            <w:rPr>
              <w:sz w:val="20"/>
            </w:rPr>
            <w:id w:val="1960842908"/>
            <w:lock w:val="sdtLocked"/>
            <w:placeholder>
              <w:docPart w:val="52F1F7EABDFB4B62A97DBD1E015DD3B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FA6409" w:rsidRPr="00FA6409" w:rsidRDefault="00FA6409" w:rsidP="00675BDF">
                <w:pPr>
                  <w:spacing w:after="0"/>
                  <w:jc w:val="left"/>
                  <w:rPr>
                    <w:sz w:val="20"/>
                  </w:rPr>
                </w:pPr>
                <w:r w:rsidRPr="00FA6409">
                  <w:rPr>
                    <w:sz w:val="20"/>
                  </w:rPr>
                  <w:t>La solution</w:t>
                </w:r>
                <w:r w:rsidR="00A510B3">
                  <w:rPr>
                    <w:sz w:val="20"/>
                  </w:rPr>
                  <w:t xml:space="preserve"> préparée par la pharmacie est stable 24 h au frigo ou 4 heures à la température ambiante</w:t>
                </w:r>
              </w:p>
              <w:p w:rsidR="00306654" w:rsidRPr="00FA6409" w:rsidRDefault="00FA6409" w:rsidP="00675BDF">
                <w:pPr>
                  <w:spacing w:after="0"/>
                  <w:jc w:val="left"/>
                  <w:rPr>
                    <w:sz w:val="20"/>
                  </w:rPr>
                </w:pPr>
                <w:r w:rsidRPr="00FA6409">
                  <w:rPr>
                    <w:b/>
                    <w:sz w:val="20"/>
                  </w:rPr>
                  <w:t>Protéger de la lumière</w:t>
                </w:r>
                <w:r w:rsidRPr="00FA6409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:rsidR="00C65E2C" w:rsidRPr="00FA6409" w:rsidRDefault="00A05B64" w:rsidP="00E87A96">
      <w:pPr>
        <w:spacing w:before="240"/>
        <w:jc w:val="left"/>
        <w:rPr>
          <w:rFonts w:cstheme="minorHAnsi"/>
          <w:sz w:val="20"/>
        </w:rPr>
      </w:pPr>
      <w:r w:rsidRPr="00FA6409">
        <w:rPr>
          <w:rFonts w:cstheme="minorHAnsi"/>
          <w:b/>
          <w:sz w:val="20"/>
        </w:rPr>
        <w:t>Compatibilité avec les solutés :</w:t>
      </w:r>
      <w:r w:rsidRPr="00FA6409">
        <w:rPr>
          <w:rFonts w:cstheme="minorHAnsi"/>
          <w:sz w:val="20"/>
        </w:rPr>
        <w:t xml:space="preserve"> </w:t>
      </w:r>
      <w:bookmarkStart w:id="0" w:name="_Toc424288453"/>
      <w:sdt>
        <w:sdtPr>
          <w:rPr>
            <w:rFonts w:cstheme="minorHAnsi"/>
            <w:sz w:val="20"/>
          </w:rPr>
          <w:id w:val="-1968195364"/>
          <w:lock w:val="sdtLocked"/>
          <w:placeholder>
            <w:docPart w:val="4692153A88B141D6BF5947E098674F66"/>
          </w:placeholder>
        </w:sdtPr>
        <w:sdtEndPr/>
        <w:sdtContent>
          <w:r w:rsidR="00FA6409" w:rsidRPr="00FA6409">
            <w:rPr>
              <w:rFonts w:cstheme="minorHAnsi"/>
              <w:sz w:val="20"/>
            </w:rPr>
            <w:t>NS</w:t>
          </w:r>
        </w:sdtContent>
      </w:sdt>
    </w:p>
    <w:p w:rsidR="00DE1B28" w:rsidRPr="00FA6409" w:rsidRDefault="00C278A4" w:rsidP="00F36FC5">
      <w:pPr>
        <w:spacing w:before="240"/>
        <w:jc w:val="left"/>
        <w:rPr>
          <w:rFonts w:cstheme="minorHAnsi"/>
          <w:b/>
          <w:sz w:val="20"/>
        </w:rPr>
      </w:pPr>
      <w:r w:rsidRPr="00FA6409">
        <w:rPr>
          <w:rFonts w:cstheme="minorHAnsi"/>
          <w:b/>
          <w:sz w:val="20"/>
        </w:rPr>
        <w:t>Incompatibilité</w:t>
      </w:r>
      <w:r w:rsidR="00945D21" w:rsidRPr="00FA6409">
        <w:rPr>
          <w:rFonts w:cstheme="minorHAnsi"/>
          <w:b/>
          <w:sz w:val="20"/>
        </w:rPr>
        <w:t xml:space="preserve"> : </w:t>
      </w:r>
      <w:sdt>
        <w:sdtPr>
          <w:rPr>
            <w:rFonts w:cstheme="minorHAnsi"/>
            <w:b/>
            <w:sz w:val="20"/>
          </w:rPr>
          <w:id w:val="189185613"/>
          <w:lock w:val="sdtLocked"/>
          <w:placeholder>
            <w:docPart w:val="F5BAA29B89AC47D3BC0FDDFCE6706769"/>
          </w:placeholder>
        </w:sdtPr>
        <w:sdtEndPr/>
        <w:sdtContent>
          <w:r w:rsidR="00FA6409" w:rsidRPr="00FA6409">
            <w:rPr>
              <w:rStyle w:val="Style6"/>
              <w:b w:val="0"/>
              <w:sz w:val="20"/>
            </w:rPr>
            <w:t>Ne pas administrer d’autres médicaments dans la même tubulure</w:t>
          </w:r>
        </w:sdtContent>
      </w:sdt>
    </w:p>
    <w:p w:rsidR="00675BDF" w:rsidRDefault="00675BDF" w:rsidP="00675BDF">
      <w:pPr>
        <w:spacing w:after="0"/>
        <w:jc w:val="left"/>
        <w:rPr>
          <w:b/>
          <w:color w:val="00B050"/>
          <w:sz w:val="32"/>
          <w:szCs w:val="36"/>
        </w:rPr>
      </w:pPr>
    </w:p>
    <w:p w:rsidR="007F4C0E" w:rsidRDefault="007F4C0E" w:rsidP="00675BDF">
      <w:pPr>
        <w:spacing w:after="0"/>
        <w:jc w:val="left"/>
        <w:rPr>
          <w:b/>
          <w:color w:val="00B050"/>
          <w:sz w:val="32"/>
          <w:szCs w:val="36"/>
        </w:rPr>
        <w:sectPr w:rsidR="007F4C0E" w:rsidSect="006D1CD5">
          <w:headerReference w:type="even" r:id="rId9"/>
          <w:headerReference w:type="default" r:id="rId10"/>
          <w:footerReference w:type="default" r:id="rId11"/>
          <w:headerReference w:type="first" r:id="rId12"/>
          <w:pgSz w:w="15840" w:h="12240" w:orient="landscape"/>
          <w:pgMar w:top="1531" w:right="1440" w:bottom="851" w:left="1440" w:header="680" w:footer="567" w:gutter="0"/>
          <w:cols w:space="708"/>
          <w:docGrid w:linePitch="360"/>
        </w:sectPr>
      </w:pPr>
    </w:p>
    <w:p w:rsidR="00123E9D" w:rsidRPr="00EF1652" w:rsidRDefault="00123E9D" w:rsidP="007E4696">
      <w:pPr>
        <w:spacing w:before="0" w:after="0"/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FA6409" w:rsidRPr="00FA6409" w:rsidRDefault="00FA6409" w:rsidP="00FA6409">
            <w:pPr>
              <w:pStyle w:val="Default"/>
              <w:spacing w:before="60" w:line="276" w:lineRule="auto"/>
              <w:rPr>
                <w:b/>
                <w:sz w:val="20"/>
                <w:szCs w:val="20"/>
                <w:u w:val="single"/>
              </w:rPr>
            </w:pPr>
            <w:r w:rsidRPr="00FA6409">
              <w:rPr>
                <w:b/>
                <w:sz w:val="20"/>
                <w:szCs w:val="20"/>
                <w:u w:val="single"/>
              </w:rPr>
              <w:t xml:space="preserve">Précautions </w:t>
            </w:r>
          </w:p>
          <w:p w:rsidR="00FA6409" w:rsidRDefault="00FA6409" w:rsidP="00FA640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 xml:space="preserve">Ne pas administrer de vaccins vivants durant le traitement </w:t>
            </w:r>
          </w:p>
          <w:p w:rsidR="00FA6409" w:rsidRPr="00FA6409" w:rsidRDefault="00FA6409" w:rsidP="00FA640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FA6409" w:rsidRPr="00FA6409" w:rsidRDefault="00FA6409" w:rsidP="00FA6409">
            <w:pPr>
              <w:pStyle w:val="Default"/>
              <w:spacing w:before="60" w:line="276" w:lineRule="auto"/>
              <w:rPr>
                <w:b/>
                <w:sz w:val="20"/>
                <w:szCs w:val="20"/>
                <w:u w:val="single"/>
              </w:rPr>
            </w:pPr>
            <w:r w:rsidRPr="00FA6409">
              <w:rPr>
                <w:b/>
                <w:sz w:val="20"/>
                <w:szCs w:val="20"/>
                <w:u w:val="single"/>
              </w:rPr>
              <w:t>Monit</w:t>
            </w:r>
            <w:r w:rsidRPr="00FA6409">
              <w:rPr>
                <w:b/>
                <w:sz w:val="20"/>
                <w:szCs w:val="20"/>
                <w:u w:val="single"/>
              </w:rPr>
              <w:t>orage</w:t>
            </w:r>
            <w:r w:rsidRPr="00FA6409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EF1652" w:rsidRDefault="00EF1652" w:rsidP="00FA640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TA, FC, Température</w:t>
            </w:r>
          </w:p>
          <w:p w:rsidR="00F8240E" w:rsidRDefault="00EF1652" w:rsidP="00EF1652">
            <w:pPr>
              <w:pStyle w:val="Default"/>
              <w:spacing w:line="276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Avant </w:t>
            </w:r>
            <w:r w:rsidR="00F8240E">
              <w:rPr>
                <w:sz w:val="20"/>
                <w:szCs w:val="20"/>
              </w:rPr>
              <w:t xml:space="preserve">le début de la perfusion </w:t>
            </w:r>
          </w:p>
          <w:p w:rsidR="00EF1652" w:rsidRDefault="00EF1652" w:rsidP="00EF1652">
            <w:pPr>
              <w:pStyle w:val="Default"/>
              <w:spacing w:line="276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 </w:t>
            </w:r>
            <w:r w:rsidR="00B12E92">
              <w:rPr>
                <w:sz w:val="20"/>
                <w:szCs w:val="20"/>
              </w:rPr>
              <w:t xml:space="preserve">30min X </w:t>
            </w:r>
            <w:r w:rsidR="00F8240E">
              <w:rPr>
                <w:sz w:val="20"/>
                <w:szCs w:val="20"/>
              </w:rPr>
              <w:t xml:space="preserve">2 après le début de la perfusion </w:t>
            </w:r>
          </w:p>
          <w:p w:rsidR="00FA6409" w:rsidRPr="00FA6409" w:rsidRDefault="00EF1652" w:rsidP="00FA640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Signes et symptômes d’infection</w:t>
            </w:r>
          </w:p>
          <w:p w:rsidR="00F8240E" w:rsidRPr="00FA6409" w:rsidRDefault="00F8240E" w:rsidP="00F8240E">
            <w:pPr>
              <w:pStyle w:val="Default"/>
              <w:spacing w:line="276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pas administrer si le patient présente une infection active </w:t>
            </w:r>
          </w:p>
          <w:p w:rsidR="00FA6409" w:rsidRPr="00FA6409" w:rsidRDefault="00FA6409" w:rsidP="00FA640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FA6409" w:rsidRPr="00FA6409" w:rsidRDefault="00FA6409" w:rsidP="00FA6409">
            <w:pPr>
              <w:pStyle w:val="Default"/>
              <w:spacing w:before="60" w:line="276" w:lineRule="auto"/>
              <w:rPr>
                <w:b/>
                <w:sz w:val="20"/>
                <w:szCs w:val="20"/>
                <w:u w:val="single"/>
              </w:rPr>
            </w:pPr>
            <w:r w:rsidRPr="00FA6409">
              <w:rPr>
                <w:b/>
                <w:sz w:val="20"/>
                <w:szCs w:val="20"/>
                <w:u w:val="single"/>
              </w:rPr>
              <w:t>En cas d</w:t>
            </w:r>
            <w:r w:rsidRPr="00FA6409">
              <w:rPr>
                <w:b/>
                <w:sz w:val="20"/>
                <w:szCs w:val="20"/>
                <w:u w:val="single"/>
              </w:rPr>
              <w:t xml:space="preserve">e réaction d’hypersensibilité </w:t>
            </w:r>
          </w:p>
          <w:p w:rsidR="00FA6409" w:rsidRPr="00FA6409" w:rsidRDefault="00FA6409" w:rsidP="00FA6409">
            <w:pPr>
              <w:pStyle w:val="Default"/>
              <w:spacing w:after="60" w:line="276" w:lineRule="auto"/>
              <w:rPr>
                <w:sz w:val="20"/>
                <w:szCs w:val="20"/>
              </w:rPr>
            </w:pPr>
            <w:r w:rsidRPr="00FA6409">
              <w:rPr>
                <w:sz w:val="20"/>
                <w:szCs w:val="20"/>
              </w:rPr>
              <w:t>Une prémédication avec acétaminophène, antihistaminique et corticostéroïde peut être utilisée chez les patient</w:t>
            </w:r>
            <w:r w:rsidR="00EF1652">
              <w:rPr>
                <w:sz w:val="20"/>
                <w:szCs w:val="20"/>
              </w:rPr>
              <w:t>s avec antécédents de réaction</w:t>
            </w:r>
            <w:r w:rsidR="009C517B">
              <w:rPr>
                <w:sz w:val="20"/>
                <w:szCs w:val="20"/>
              </w:rPr>
              <w:t xml:space="preserve"> de perfusion</w:t>
            </w:r>
            <w:r w:rsidR="00F8240E">
              <w:rPr>
                <w:sz w:val="20"/>
                <w:szCs w:val="20"/>
              </w:rPr>
              <w:t xml:space="preserve"> (30 minutes avant la dose)</w:t>
            </w:r>
          </w:p>
          <w:p w:rsidR="00FA6409" w:rsidRPr="00FA6409" w:rsidRDefault="00FA6409" w:rsidP="00FA6409">
            <w:pPr>
              <w:pStyle w:val="Default"/>
              <w:spacing w:after="60" w:line="276" w:lineRule="auto"/>
              <w:rPr>
                <w:sz w:val="20"/>
                <w:szCs w:val="20"/>
              </w:rPr>
            </w:pPr>
            <w:r w:rsidRPr="00FA6409">
              <w:rPr>
                <w:b/>
                <w:sz w:val="20"/>
                <w:szCs w:val="20"/>
              </w:rPr>
              <w:t>Si réaction mineure</w:t>
            </w:r>
            <w:r w:rsidRPr="00FA6409">
              <w:rPr>
                <w:sz w:val="20"/>
                <w:szCs w:val="20"/>
              </w:rPr>
              <w:t xml:space="preserve"> </w:t>
            </w:r>
          </w:p>
          <w:p w:rsidR="00EF1652" w:rsidRDefault="00EF1652" w:rsidP="00EF1652">
            <w:pPr>
              <w:pStyle w:val="Default"/>
              <w:spacing w:after="60" w:line="276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A6409" w:rsidRPr="00FA6409">
              <w:rPr>
                <w:sz w:val="20"/>
                <w:szCs w:val="20"/>
              </w:rPr>
              <w:t>alentir le débit de perfusion ou arrêt temporaire de la perfusion</w:t>
            </w:r>
          </w:p>
          <w:p w:rsidR="00EF1652" w:rsidRDefault="00EF1652" w:rsidP="00EF1652">
            <w:pPr>
              <w:pStyle w:val="Default"/>
              <w:spacing w:after="60" w:line="276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Signes vitaux q10min jusqu’à résolution</w:t>
            </w:r>
          </w:p>
          <w:p w:rsidR="00FA6409" w:rsidRPr="00FA6409" w:rsidRDefault="00FA6409" w:rsidP="00EF1652">
            <w:pPr>
              <w:pStyle w:val="Default"/>
              <w:spacing w:after="60" w:line="276" w:lineRule="auto"/>
              <w:ind w:left="284"/>
              <w:rPr>
                <w:sz w:val="20"/>
                <w:szCs w:val="20"/>
              </w:rPr>
            </w:pPr>
            <w:proofErr w:type="spellStart"/>
            <w:r w:rsidRPr="00FA6409">
              <w:rPr>
                <w:sz w:val="20"/>
                <w:szCs w:val="20"/>
              </w:rPr>
              <w:t>Réaugmenter</w:t>
            </w:r>
            <w:proofErr w:type="spellEnd"/>
            <w:r w:rsidRPr="00FA6409">
              <w:rPr>
                <w:sz w:val="20"/>
                <w:szCs w:val="20"/>
              </w:rPr>
              <w:t xml:space="preserve"> gradu</w:t>
            </w:r>
            <w:r w:rsidR="00EF1652">
              <w:rPr>
                <w:sz w:val="20"/>
                <w:szCs w:val="20"/>
              </w:rPr>
              <w:t>ellement le débit de perfusion</w:t>
            </w:r>
          </w:p>
          <w:p w:rsidR="00FA6409" w:rsidRPr="00FA6409" w:rsidRDefault="00FA6409" w:rsidP="00FA6409">
            <w:pPr>
              <w:pStyle w:val="Sansinterligne"/>
              <w:rPr>
                <w:sz w:val="20"/>
                <w:szCs w:val="20"/>
              </w:rPr>
            </w:pPr>
            <w:r w:rsidRPr="00FA6409">
              <w:rPr>
                <w:b/>
                <w:sz w:val="20"/>
                <w:szCs w:val="20"/>
              </w:rPr>
              <w:t>Si réaction sévère (anaphylaxie)</w:t>
            </w:r>
            <w:r w:rsidRPr="00FA6409">
              <w:rPr>
                <w:sz w:val="20"/>
                <w:szCs w:val="20"/>
              </w:rPr>
              <w:t xml:space="preserve"> </w:t>
            </w:r>
          </w:p>
          <w:p w:rsidR="00EF1652" w:rsidRDefault="00EF1652" w:rsidP="00EF1652">
            <w:pPr>
              <w:pStyle w:val="Sansinterligne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Cesser la </w:t>
            </w:r>
            <w:r w:rsidR="009C517B">
              <w:rPr>
                <w:sz w:val="20"/>
                <w:szCs w:val="20"/>
              </w:rPr>
              <w:t>perfusion et instaurer traitement de l’anaphylaxie</w:t>
            </w:r>
          </w:p>
          <w:p w:rsidR="00EF1652" w:rsidRDefault="00EF1652" w:rsidP="00EF1652">
            <w:pPr>
              <w:pStyle w:val="Sansinterligne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Signes vitaux q5min</w:t>
            </w:r>
            <w:r w:rsidR="00FA6409" w:rsidRPr="00FA6409">
              <w:rPr>
                <w:sz w:val="20"/>
                <w:szCs w:val="20"/>
              </w:rPr>
              <w:t xml:space="preserve"> jusqu’à résolution</w:t>
            </w:r>
            <w:r w:rsidR="009C517B">
              <w:rPr>
                <w:sz w:val="20"/>
                <w:szCs w:val="20"/>
              </w:rPr>
              <w:t xml:space="preserve"> </w:t>
            </w:r>
          </w:p>
          <w:p w:rsidR="00774376" w:rsidRPr="00664B42" w:rsidRDefault="00EF1652" w:rsidP="00EF1652">
            <w:pPr>
              <w:pStyle w:val="Sansinterligne"/>
              <w:ind w:left="284"/>
            </w:pPr>
            <w:r>
              <w:rPr>
                <w:sz w:val="20"/>
                <w:szCs w:val="20"/>
              </w:rPr>
              <w:t>R</w:t>
            </w:r>
            <w:r w:rsidR="00FA6409" w:rsidRPr="00FA6409">
              <w:rPr>
                <w:sz w:val="20"/>
                <w:szCs w:val="20"/>
              </w:rPr>
              <w:t xml:space="preserve">eprise du traitement </w:t>
            </w:r>
            <w:r>
              <w:rPr>
                <w:sz w:val="20"/>
                <w:szCs w:val="20"/>
              </w:rPr>
              <w:t>selon équipe traitante</w:t>
            </w:r>
          </w:p>
        </w:tc>
        <w:tc>
          <w:tcPr>
            <w:tcW w:w="6550" w:type="dxa"/>
          </w:tcPr>
          <w:p w:rsidR="00EF1652" w:rsidRPr="00EF1652" w:rsidRDefault="00EF1652" w:rsidP="00EF1652">
            <w:pPr>
              <w:pStyle w:val="Default"/>
              <w:spacing w:before="60" w:line="276" w:lineRule="auto"/>
              <w:rPr>
                <w:b/>
                <w:sz w:val="21"/>
                <w:szCs w:val="21"/>
                <w:u w:val="single"/>
              </w:rPr>
            </w:pPr>
            <w:r w:rsidRPr="00EF1652">
              <w:rPr>
                <w:b/>
                <w:sz w:val="21"/>
                <w:szCs w:val="21"/>
                <w:u w:val="single"/>
              </w:rPr>
              <w:t xml:space="preserve">Communs 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Réactions </w:t>
            </w:r>
            <w:r w:rsidR="009C517B">
              <w:rPr>
                <w:sz w:val="21"/>
                <w:szCs w:val="21"/>
              </w:rPr>
              <w:t>de perfusion</w:t>
            </w:r>
          </w:p>
          <w:p w:rsidR="00EF1652" w:rsidRDefault="00EF1652" w:rsidP="00EF1652">
            <w:pPr>
              <w:pStyle w:val="Default"/>
              <w:spacing w:line="276" w:lineRule="auto"/>
              <w:ind w:left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Pr="00D0181F">
              <w:rPr>
                <w:sz w:val="21"/>
                <w:szCs w:val="21"/>
              </w:rPr>
              <w:t xml:space="preserve">ausées, vomissements, maux de </w:t>
            </w:r>
            <w:r>
              <w:rPr>
                <w:sz w:val="21"/>
                <w:szCs w:val="21"/>
              </w:rPr>
              <w:t>tête, fatigue, étourdissements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Réactions d’hypersensibilité </w:t>
            </w:r>
          </w:p>
          <w:p w:rsidR="00EF1652" w:rsidRDefault="00EF1652" w:rsidP="00EF1652">
            <w:pPr>
              <w:pStyle w:val="Default"/>
              <w:spacing w:line="276" w:lineRule="auto"/>
              <w:ind w:left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D0181F">
              <w:rPr>
                <w:sz w:val="21"/>
                <w:szCs w:val="21"/>
              </w:rPr>
              <w:t>ouvent légère à modérée, mais peuvent être sévèr</w:t>
            </w:r>
            <w:r>
              <w:rPr>
                <w:sz w:val="21"/>
                <w:szCs w:val="21"/>
              </w:rPr>
              <w:t>es (angioedème ou anaphylaxie)</w:t>
            </w:r>
          </w:p>
          <w:p w:rsidR="00EF1652" w:rsidRPr="00D0181F" w:rsidRDefault="00EF1652" w:rsidP="00EF1652">
            <w:pPr>
              <w:pStyle w:val="Default"/>
              <w:spacing w:line="276" w:lineRule="auto"/>
              <w:ind w:left="284"/>
              <w:rPr>
                <w:sz w:val="21"/>
                <w:szCs w:val="21"/>
              </w:rPr>
            </w:pPr>
            <w:r w:rsidRPr="00D0181F">
              <w:rPr>
                <w:sz w:val="21"/>
                <w:szCs w:val="21"/>
              </w:rPr>
              <w:t>Les réactions sévères surviennent généralement durant les 12 pr</w:t>
            </w:r>
            <w:r>
              <w:rPr>
                <w:sz w:val="21"/>
                <w:szCs w:val="21"/>
              </w:rPr>
              <w:t>emières semaines de traitement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Infections </w:t>
            </w:r>
          </w:p>
          <w:p w:rsidR="00EF1652" w:rsidRDefault="00EF1652" w:rsidP="00EF1652">
            <w:pPr>
              <w:pStyle w:val="Default"/>
              <w:spacing w:line="276" w:lineRule="auto"/>
              <w:ind w:left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urtout tuberculose, influenza, infections urinaires, bronchites, infections des voies respiratoires hautes (</w:t>
            </w:r>
            <w:proofErr w:type="spellStart"/>
            <w:r>
              <w:rPr>
                <w:sz w:val="21"/>
                <w:szCs w:val="21"/>
              </w:rPr>
              <w:t>nasopharyngite</w:t>
            </w:r>
            <w:proofErr w:type="spellEnd"/>
            <w:r>
              <w:rPr>
                <w:sz w:val="21"/>
                <w:szCs w:val="21"/>
              </w:rPr>
              <w:t>, pharyngite, sinusite), herpè</w:t>
            </w:r>
            <w:r>
              <w:rPr>
                <w:sz w:val="21"/>
                <w:szCs w:val="21"/>
              </w:rPr>
              <w:t xml:space="preserve">s </w:t>
            </w:r>
            <w:proofErr w:type="spellStart"/>
            <w:r>
              <w:rPr>
                <w:sz w:val="21"/>
                <w:szCs w:val="21"/>
              </w:rPr>
              <w:t>zoster</w:t>
            </w:r>
            <w:proofErr w:type="spellEnd"/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Immunologique</w:t>
            </w:r>
          </w:p>
          <w:p w:rsidR="00EF1652" w:rsidRDefault="00EF1652" w:rsidP="00EF1652">
            <w:pPr>
              <w:pStyle w:val="Default"/>
              <w:spacing w:line="276" w:lineRule="auto"/>
              <w:ind w:left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Développement d’anticorps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Toux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Maux de tête </w:t>
            </w:r>
          </w:p>
          <w:p w:rsidR="00EF1652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Douleurs au dos, arthralgie, douleurs</w:t>
            </w:r>
          </w:p>
          <w:p w:rsidR="00F8240E" w:rsidRPr="00CF4528" w:rsidRDefault="00F8240E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</w:p>
          <w:p w:rsidR="00EF1652" w:rsidRPr="00EF1652" w:rsidRDefault="00EF1652" w:rsidP="00EF1652">
            <w:pPr>
              <w:pStyle w:val="Default"/>
              <w:spacing w:line="276" w:lineRule="auto"/>
              <w:rPr>
                <w:b/>
                <w:sz w:val="21"/>
                <w:szCs w:val="21"/>
                <w:u w:val="single"/>
              </w:rPr>
            </w:pPr>
            <w:r w:rsidRPr="00EF1652">
              <w:rPr>
                <w:b/>
                <w:sz w:val="21"/>
                <w:szCs w:val="21"/>
                <w:u w:val="single"/>
              </w:rPr>
              <w:t xml:space="preserve">Rares </w:t>
            </w:r>
          </w:p>
          <w:p w:rsidR="00EF1652" w:rsidRPr="00CF4528" w:rsidRDefault="00EF1652" w:rsidP="00EF1652">
            <w:pPr>
              <w:pStyle w:val="Default"/>
              <w:spacing w:line="276" w:lineRule="auto"/>
              <w:rPr>
                <w:sz w:val="21"/>
                <w:szCs w:val="21"/>
              </w:rPr>
            </w:pPr>
            <w:r w:rsidRPr="00CF4528">
              <w:rPr>
                <w:sz w:val="21"/>
                <w:szCs w:val="21"/>
              </w:rPr>
              <w:t xml:space="preserve">Anaphylaxie </w:t>
            </w:r>
          </w:p>
          <w:p w:rsidR="00363019" w:rsidRDefault="00EF1652" w:rsidP="00EF1652">
            <w:pPr>
              <w:pStyle w:val="Sansinterligne"/>
              <w:rPr>
                <w:sz w:val="21"/>
                <w:szCs w:val="21"/>
              </w:rPr>
            </w:pPr>
            <w:r w:rsidRPr="00CF4528">
              <w:rPr>
                <w:sz w:val="21"/>
                <w:szCs w:val="21"/>
              </w:rPr>
              <w:t>Infections sévères</w:t>
            </w:r>
          </w:p>
          <w:p w:rsidR="009C517B" w:rsidRPr="00664B42" w:rsidRDefault="009C517B" w:rsidP="00EF1652">
            <w:pPr>
              <w:pStyle w:val="Sansinterligne"/>
            </w:pPr>
            <w:r>
              <w:rPr>
                <w:sz w:val="21"/>
                <w:szCs w:val="21"/>
              </w:rPr>
              <w:t xml:space="preserve">Néoplasie </w:t>
            </w:r>
            <w:bookmarkStart w:id="1" w:name="_GoBack"/>
            <w:bookmarkEnd w:id="1"/>
          </w:p>
        </w:tc>
      </w:tr>
    </w:tbl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D1CD5"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25" w:rsidRDefault="00197D25" w:rsidP="008F3D94">
      <w:pPr>
        <w:spacing w:after="0" w:line="240" w:lineRule="auto"/>
      </w:pPr>
      <w:r>
        <w:separator/>
      </w:r>
    </w:p>
  </w:endnote>
  <w:endnote w:type="continuationSeparator" w:id="0">
    <w:p w:rsidR="00197D25" w:rsidRDefault="00197D25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C14B2E">
      <w:rPr>
        <w:b/>
        <w:noProof/>
      </w:rPr>
      <w:t>2025-09-18 09:36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9C517B" w:rsidRPr="009C517B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9C517B" w:rsidRPr="009C517B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25" w:rsidRDefault="00197D25" w:rsidP="008F3D94">
      <w:pPr>
        <w:spacing w:after="0" w:line="240" w:lineRule="auto"/>
      </w:pPr>
      <w:r>
        <w:separator/>
      </w:r>
    </w:p>
  </w:footnote>
  <w:footnote w:type="continuationSeparator" w:id="0">
    <w:p w:rsidR="00197D25" w:rsidRDefault="00197D25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9C517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8472" w:type="dxa"/>
      <w:tblLook w:val="04A0" w:firstRow="1" w:lastRow="0" w:firstColumn="1" w:lastColumn="0" w:noHBand="0" w:noVBand="1"/>
    </w:tblPr>
    <w:tblGrid>
      <w:gridCol w:w="4704"/>
    </w:tblGrid>
    <w:tr w:rsidR="00664B42" w:rsidRPr="00A426B2" w:rsidTr="00C14B2E">
      <w:tc>
        <w:tcPr>
          <w:tcW w:w="4704" w:type="dxa"/>
        </w:tcPr>
        <w:p w:rsidR="00664B42" w:rsidRDefault="00FA6409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27EAF2C7" wp14:editId="7B708532">
                    <wp:simplePos x="0" y="0"/>
                    <wp:positionH relativeFrom="column">
                      <wp:posOffset>-5652366</wp:posOffset>
                    </wp:positionH>
                    <wp:positionV relativeFrom="paragraph">
                      <wp:posOffset>-66675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45.05pt;margin-top:-5.25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w+pTgOEAAAAMAQAADwAAAGRycy9k&#10;b3ducmV2LnhtbEyPTU/DMAyG70j8h8hI3LqkGx1raTohEFfQxofELWu8tqJxqiZby7/HnOBmy49e&#10;P2+5nV0vzjiGzpOGdKFAINXedtRoeHt9SjYgQjRkTe8JNXxjgG11eVGawvqJdnjex0ZwCIXCaGhj&#10;HAopQ92iM2HhByS+Hf3oTOR1bKQdzcThrpdLpdbSmY74Q2sGfGix/tqfnIb35+Pnx416aR5dNkx+&#10;VpJcLrW+vprv70BEnOMfDL/6rA4VOx38iWwQvYZkk6uUWZ5SlYFgJFmvshWIg4bbZQ6yKuX/EtUP&#10;AAAA//8DAFBLAQItABQABgAIAAAAIQC2gziS/gAAAOEBAAATAAAAAAAAAAAAAAAAAAAAAABbQ29u&#10;dGVudF9UeXBlc10ueG1sUEsBAi0AFAAGAAgAAAAhADj9If/WAAAAlAEAAAsAAAAAAAAAAAAAAAAA&#10;LwEAAF9yZWxzLy5yZWxzUEsBAi0AFAAGAAgAAAAhAOJmkZowAgAAWwQAAA4AAAAAAAAAAAAAAAAA&#10;LgIAAGRycy9lMm9Eb2MueG1sUEsBAi0AFAAGAAgAAAAhAMPqU4DhAAAADAEAAA8AAAAAAAAAAAAA&#10;AAAAigQAAGRycy9kb3ducmV2LnhtbFBLBQYAAAAABAAEAPMAAACYBQAAAAA=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14B2E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26B2C541" wp14:editId="33460C48">
                <wp:simplePos x="0" y="0"/>
                <wp:positionH relativeFrom="column">
                  <wp:posOffset>-255905</wp:posOffset>
                </wp:positionH>
                <wp:positionV relativeFrom="paragraph">
                  <wp:posOffset>-165100</wp:posOffset>
                </wp:positionV>
                <wp:extent cx="350520" cy="351155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64B42" w:rsidRPr="00A426B2" w:rsidRDefault="00C14B2E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C14B2E">
            <w:rPr>
              <w:rFonts w:ascii="Arial Narrow" w:hAnsi="Arial Narrow"/>
              <w:b/>
              <w:sz w:val="20"/>
              <w:szCs w:val="24"/>
            </w:rPr>
            <w:t>MÉDICAMENTS POUR LE TRAITEMENT DE CHOC ANAPHYLACTIQUE DISPONIBLES</w:t>
          </w:r>
          <w:r w:rsidRPr="00C14B2E">
            <w:rPr>
              <w:i/>
              <w:noProof/>
              <w:sz w:val="24"/>
              <w:szCs w:val="32"/>
              <w:lang w:eastAsia="fr-CA"/>
            </w:rPr>
            <w:t xml:space="preserve"> </w: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6672" behindDoc="0" locked="1" layoutInCell="1" allowOverlap="1" wp14:anchorId="2151EC71" wp14:editId="5EE86D10">
                <wp:simplePos x="0" y="0"/>
                <wp:positionH relativeFrom="column">
                  <wp:posOffset>2406015</wp:posOffset>
                </wp:positionH>
                <wp:positionV relativeFrom="paragraph">
                  <wp:posOffset>42545</wp:posOffset>
                </wp:positionV>
                <wp:extent cx="753110" cy="739775"/>
                <wp:effectExtent l="57150" t="95250" r="294640" b="288925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64B42" w:rsidRDefault="00664B42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875AFE" w:rsidTr="00501D76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326095582"/>
        </w:sdtPr>
        <w:sdtEndPr>
          <w:rPr>
            <w:rStyle w:val="Style7"/>
          </w:rPr>
        </w:sdtEnd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875AFE" w:rsidRPr="00875AFE" w:rsidRDefault="00C14B2E" w:rsidP="00C14B2E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r>
                <w:rPr>
                  <w:rStyle w:val="Style7"/>
                </w:rPr>
                <w:t>ANIFROLUMAB (</w:t>
              </w:r>
              <w:proofErr w:type="spellStart"/>
              <w:r>
                <w:rPr>
                  <w:rStyle w:val="Style7"/>
                </w:rPr>
                <w:t>Saphnelo</w:t>
              </w:r>
              <w:r w:rsidRPr="00C14B2E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6"/>
      <w:gridCol w:w="4536"/>
      <w:gridCol w:w="283"/>
      <w:gridCol w:w="2127"/>
      <w:gridCol w:w="4628"/>
    </w:tblGrid>
    <w:tr w:rsidR="00891BD4" w:rsidRPr="00991F8D" w:rsidTr="00C14B2E">
      <w:trPr>
        <w:trHeight w:val="454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91BD4" w:rsidRPr="00991F8D" w:rsidRDefault="00891BD4" w:rsidP="00E474FF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C14B2E" w:rsidRDefault="00EF1652" w:rsidP="00EF1652">
          <w:pPr>
            <w:spacing w:before="120" w:after="0"/>
            <w:jc w:val="left"/>
          </w:pPr>
          <w:r w:rsidRPr="00EF1652">
            <w:rPr>
              <w:szCs w:val="21"/>
            </w:rPr>
            <w:t xml:space="preserve">Lupus érythémateux disséminé 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991F8D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991F8D">
            <w:rPr>
              <w:b/>
            </w:rPr>
            <w:t>Classe thérapeutique</w:t>
          </w:r>
          <w:r w:rsidRPr="00991F8D">
            <w:t> :</w:t>
          </w:r>
        </w:p>
      </w:tc>
      <w:tc>
        <w:tcPr>
          <w:tcW w:w="462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14B2E" w:rsidRDefault="00C14B2E" w:rsidP="00C14B2E">
          <w:pPr>
            <w:spacing w:before="120" w:after="0"/>
            <w:jc w:val="left"/>
            <w:rPr>
              <w:szCs w:val="21"/>
            </w:rPr>
          </w:pPr>
          <w:r>
            <w:rPr>
              <w:szCs w:val="21"/>
            </w:rPr>
            <w:t>Anticorps monoclonal</w:t>
          </w:r>
          <w:r>
            <w:rPr>
              <w:szCs w:val="21"/>
            </w:rPr>
            <w:t xml:space="preserve"> </w:t>
          </w:r>
        </w:p>
        <w:p w:rsidR="00891BD4" w:rsidRPr="00363019" w:rsidRDefault="00C14B2E" w:rsidP="00C14B2E">
          <w:pPr>
            <w:spacing w:before="120" w:after="0"/>
            <w:jc w:val="left"/>
          </w:pPr>
          <w:r>
            <w:rPr>
              <w:szCs w:val="21"/>
            </w:rPr>
            <w:t>Antagoniste des r</w:t>
          </w:r>
          <w:r>
            <w:rPr>
              <w:szCs w:val="21"/>
            </w:rPr>
            <w:t>écepteurs interférons de type I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9C517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CD3173"/>
    <w:multiLevelType w:val="hybridMultilevel"/>
    <w:tmpl w:val="A32090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AD6F81"/>
    <w:multiLevelType w:val="hybridMultilevel"/>
    <w:tmpl w:val="DFD0BB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CE11D61"/>
    <w:multiLevelType w:val="hybridMultilevel"/>
    <w:tmpl w:val="91B66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3"/>
  </w:num>
  <w:num w:numId="3">
    <w:abstractNumId w:val="80"/>
  </w:num>
  <w:num w:numId="4">
    <w:abstractNumId w:val="71"/>
  </w:num>
  <w:num w:numId="5">
    <w:abstractNumId w:val="22"/>
  </w:num>
  <w:num w:numId="6">
    <w:abstractNumId w:val="65"/>
  </w:num>
  <w:num w:numId="7">
    <w:abstractNumId w:val="59"/>
  </w:num>
  <w:num w:numId="8">
    <w:abstractNumId w:val="83"/>
  </w:num>
  <w:num w:numId="9">
    <w:abstractNumId w:val="74"/>
  </w:num>
  <w:num w:numId="10">
    <w:abstractNumId w:val="24"/>
  </w:num>
  <w:num w:numId="11">
    <w:abstractNumId w:val="2"/>
  </w:num>
  <w:num w:numId="12">
    <w:abstractNumId w:val="34"/>
  </w:num>
  <w:num w:numId="13">
    <w:abstractNumId w:val="72"/>
  </w:num>
  <w:num w:numId="14">
    <w:abstractNumId w:val="55"/>
  </w:num>
  <w:num w:numId="15">
    <w:abstractNumId w:val="46"/>
  </w:num>
  <w:num w:numId="16">
    <w:abstractNumId w:val="10"/>
  </w:num>
  <w:num w:numId="17">
    <w:abstractNumId w:val="67"/>
  </w:num>
  <w:num w:numId="18">
    <w:abstractNumId w:val="44"/>
  </w:num>
  <w:num w:numId="19">
    <w:abstractNumId w:val="17"/>
  </w:num>
  <w:num w:numId="20">
    <w:abstractNumId w:val="32"/>
  </w:num>
  <w:num w:numId="21">
    <w:abstractNumId w:val="15"/>
  </w:num>
  <w:num w:numId="22">
    <w:abstractNumId w:val="26"/>
  </w:num>
  <w:num w:numId="23">
    <w:abstractNumId w:val="42"/>
  </w:num>
  <w:num w:numId="24">
    <w:abstractNumId w:val="49"/>
  </w:num>
  <w:num w:numId="25">
    <w:abstractNumId w:val="29"/>
  </w:num>
  <w:num w:numId="26">
    <w:abstractNumId w:val="76"/>
  </w:num>
  <w:num w:numId="27">
    <w:abstractNumId w:val="41"/>
  </w:num>
  <w:num w:numId="28">
    <w:abstractNumId w:val="30"/>
  </w:num>
  <w:num w:numId="29">
    <w:abstractNumId w:val="12"/>
  </w:num>
  <w:num w:numId="30">
    <w:abstractNumId w:val="47"/>
  </w:num>
  <w:num w:numId="31">
    <w:abstractNumId w:val="66"/>
  </w:num>
  <w:num w:numId="32">
    <w:abstractNumId w:val="31"/>
  </w:num>
  <w:num w:numId="33">
    <w:abstractNumId w:val="54"/>
  </w:num>
  <w:num w:numId="34">
    <w:abstractNumId w:val="1"/>
  </w:num>
  <w:num w:numId="35">
    <w:abstractNumId w:val="28"/>
  </w:num>
  <w:num w:numId="36">
    <w:abstractNumId w:val="70"/>
  </w:num>
  <w:num w:numId="37">
    <w:abstractNumId w:val="81"/>
  </w:num>
  <w:num w:numId="38">
    <w:abstractNumId w:val="73"/>
  </w:num>
  <w:num w:numId="39">
    <w:abstractNumId w:val="0"/>
  </w:num>
  <w:num w:numId="40">
    <w:abstractNumId w:val="33"/>
  </w:num>
  <w:num w:numId="41">
    <w:abstractNumId w:val="36"/>
  </w:num>
  <w:num w:numId="42">
    <w:abstractNumId w:val="25"/>
  </w:num>
  <w:num w:numId="43">
    <w:abstractNumId w:val="40"/>
  </w:num>
  <w:num w:numId="44">
    <w:abstractNumId w:val="48"/>
  </w:num>
  <w:num w:numId="45">
    <w:abstractNumId w:val="62"/>
  </w:num>
  <w:num w:numId="46">
    <w:abstractNumId w:val="87"/>
  </w:num>
  <w:num w:numId="47">
    <w:abstractNumId w:val="84"/>
  </w:num>
  <w:num w:numId="48">
    <w:abstractNumId w:val="38"/>
  </w:num>
  <w:num w:numId="49">
    <w:abstractNumId w:val="77"/>
  </w:num>
  <w:num w:numId="50">
    <w:abstractNumId w:val="16"/>
  </w:num>
  <w:num w:numId="51">
    <w:abstractNumId w:val="14"/>
  </w:num>
  <w:num w:numId="52">
    <w:abstractNumId w:val="45"/>
  </w:num>
  <w:num w:numId="53">
    <w:abstractNumId w:val="50"/>
  </w:num>
  <w:num w:numId="54">
    <w:abstractNumId w:val="78"/>
  </w:num>
  <w:num w:numId="55">
    <w:abstractNumId w:val="53"/>
  </w:num>
  <w:num w:numId="56">
    <w:abstractNumId w:val="7"/>
  </w:num>
  <w:num w:numId="57">
    <w:abstractNumId w:val="88"/>
  </w:num>
  <w:num w:numId="58">
    <w:abstractNumId w:val="23"/>
  </w:num>
  <w:num w:numId="59">
    <w:abstractNumId w:val="39"/>
  </w:num>
  <w:num w:numId="60">
    <w:abstractNumId w:val="64"/>
  </w:num>
  <w:num w:numId="61">
    <w:abstractNumId w:val="63"/>
  </w:num>
  <w:num w:numId="62">
    <w:abstractNumId w:val="35"/>
  </w:num>
  <w:num w:numId="63">
    <w:abstractNumId w:val="56"/>
  </w:num>
  <w:num w:numId="64">
    <w:abstractNumId w:val="75"/>
  </w:num>
  <w:num w:numId="65">
    <w:abstractNumId w:val="4"/>
  </w:num>
  <w:num w:numId="66">
    <w:abstractNumId w:val="90"/>
  </w:num>
  <w:num w:numId="67">
    <w:abstractNumId w:val="57"/>
  </w:num>
  <w:num w:numId="68">
    <w:abstractNumId w:val="9"/>
  </w:num>
  <w:num w:numId="69">
    <w:abstractNumId w:val="61"/>
  </w:num>
  <w:num w:numId="70">
    <w:abstractNumId w:val="21"/>
  </w:num>
  <w:num w:numId="71">
    <w:abstractNumId w:val="37"/>
  </w:num>
  <w:num w:numId="72">
    <w:abstractNumId w:val="69"/>
  </w:num>
  <w:num w:numId="73">
    <w:abstractNumId w:val="86"/>
  </w:num>
  <w:num w:numId="74">
    <w:abstractNumId w:val="8"/>
  </w:num>
  <w:num w:numId="75">
    <w:abstractNumId w:val="19"/>
  </w:num>
  <w:num w:numId="76">
    <w:abstractNumId w:val="11"/>
  </w:num>
  <w:num w:numId="77">
    <w:abstractNumId w:val="82"/>
  </w:num>
  <w:num w:numId="78">
    <w:abstractNumId w:val="27"/>
  </w:num>
  <w:num w:numId="79">
    <w:abstractNumId w:val="79"/>
  </w:num>
  <w:num w:numId="80">
    <w:abstractNumId w:val="52"/>
  </w:num>
  <w:num w:numId="81">
    <w:abstractNumId w:val="51"/>
  </w:num>
  <w:num w:numId="82">
    <w:abstractNumId w:val="85"/>
  </w:num>
  <w:num w:numId="83">
    <w:abstractNumId w:val="3"/>
  </w:num>
  <w:num w:numId="84">
    <w:abstractNumId w:val="58"/>
  </w:num>
  <w:num w:numId="85">
    <w:abstractNumId w:val="13"/>
  </w:num>
  <w:num w:numId="86">
    <w:abstractNumId w:val="5"/>
  </w:num>
  <w:num w:numId="87">
    <w:abstractNumId w:val="20"/>
  </w:num>
  <w:num w:numId="88">
    <w:abstractNumId w:val="89"/>
  </w:num>
  <w:num w:numId="89">
    <w:abstractNumId w:val="6"/>
  </w:num>
  <w:num w:numId="90">
    <w:abstractNumId w:val="18"/>
  </w:num>
  <w:num w:numId="91">
    <w:abstractNumId w:val="91"/>
  </w:num>
  <w:num w:numId="92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5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97D25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C517B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10B3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2E92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14B2E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A012F"/>
    <w:rsid w:val="00EB0B5A"/>
    <w:rsid w:val="00EC4407"/>
    <w:rsid w:val="00ED12DD"/>
    <w:rsid w:val="00ED511C"/>
    <w:rsid w:val="00ED7252"/>
    <w:rsid w:val="00EF1269"/>
    <w:rsid w:val="00EF1652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0E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A6409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Default">
    <w:name w:val="Default"/>
    <w:rsid w:val="00FA6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Default">
    <w:name w:val="Default"/>
    <w:rsid w:val="00FA64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SP\080-PHARMACIE-CHUS\Cahier%2012B%20(restaure)\NOUVELLE%20VERSION%20Standardisation%2012B\Gabarit%20et%20harmonisation%20des%20fiches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F1F7EABDFB4B62A97DBD1E015DD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8DA98-E0C4-47C2-B6F7-700601A536A5}"/>
      </w:docPartPr>
      <w:docPartBody>
        <w:p w:rsidR="007937F1" w:rsidRDefault="007937F1">
          <w:pPr>
            <w:pStyle w:val="52F1F7EABDFB4B62A97DBD1E015DD3B8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92153A88B141D6BF5947E098674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0EC76-AD8A-44E7-AAD8-5D058EE374C1}"/>
      </w:docPartPr>
      <w:docPartBody>
        <w:p w:rsidR="007937F1" w:rsidRDefault="007937F1">
          <w:pPr>
            <w:pStyle w:val="4692153A88B141D6BF5947E098674F66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BAA29B89AC47D3BC0FDDFCE6706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E29FA-ED35-455F-8328-41FF8EA736A5}"/>
      </w:docPartPr>
      <w:docPartBody>
        <w:p w:rsidR="007937F1" w:rsidRDefault="007937F1">
          <w:pPr>
            <w:pStyle w:val="F5BAA29B89AC47D3BC0FDDFCE6706769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F1"/>
    <w:rsid w:val="007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10884C78BB6F4D2395B3B4BB95183B9D">
    <w:name w:val="10884C78BB6F4D2395B3B4BB95183B9D"/>
  </w:style>
  <w:style w:type="paragraph" w:customStyle="1" w:styleId="52F1F7EABDFB4B62A97DBD1E015DD3B8">
    <w:name w:val="52F1F7EABDFB4B62A97DBD1E015DD3B8"/>
  </w:style>
  <w:style w:type="paragraph" w:customStyle="1" w:styleId="4692153A88B141D6BF5947E098674F66">
    <w:name w:val="4692153A88B141D6BF5947E098674F66"/>
  </w:style>
  <w:style w:type="paragraph" w:customStyle="1" w:styleId="F5BAA29B89AC47D3BC0FDDFCE6706769">
    <w:name w:val="F5BAA29B89AC47D3BC0FDDFCE67067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10884C78BB6F4D2395B3B4BB95183B9D">
    <w:name w:val="10884C78BB6F4D2395B3B4BB95183B9D"/>
  </w:style>
  <w:style w:type="paragraph" w:customStyle="1" w:styleId="52F1F7EABDFB4B62A97DBD1E015DD3B8">
    <w:name w:val="52F1F7EABDFB4B62A97DBD1E015DD3B8"/>
  </w:style>
  <w:style w:type="paragraph" w:customStyle="1" w:styleId="4692153A88B141D6BF5947E098674F66">
    <w:name w:val="4692153A88B141D6BF5947E098674F66"/>
  </w:style>
  <w:style w:type="paragraph" w:customStyle="1" w:styleId="F5BAA29B89AC47D3BC0FDDFCE6706769">
    <w:name w:val="F5BAA29B89AC47D3BC0FDDFCE670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AED5-1A4D-43A1-9D91-740733FB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7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3</cp:revision>
  <cp:lastPrinted>2019-03-06T19:59:00Z</cp:lastPrinted>
  <dcterms:created xsi:type="dcterms:W3CDTF">2025-09-18T14:41:00Z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