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4A" w:rsidRPr="0062034A" w:rsidRDefault="0062034A" w:rsidP="0062034A">
      <w:pPr>
        <w:jc w:val="center"/>
        <w:rPr>
          <w:b/>
          <w:u w:val="single"/>
        </w:rPr>
      </w:pPr>
      <w:r>
        <w:rPr>
          <w:b/>
          <w:u w:val="single"/>
        </w:rPr>
        <w:t>Prise en charge des interactions entre les quinolones/tétracyclines et les ions multivalents</w:t>
      </w:r>
      <w:r w:rsidR="00D122AD">
        <w:rPr>
          <w:b/>
          <w:u w:val="single"/>
        </w:rPr>
        <w:t>/chélateurs</w:t>
      </w:r>
    </w:p>
    <w:p w:rsidR="00716C06" w:rsidRDefault="0062034A">
      <w:r>
        <w:t xml:space="preserve">Pour minimiser les interactions et/ou simplifier leurs gestions, il est suggéré (lorsque possible selon l’indication) de suspendre les suppléments d’ions multivalent pendant le traitement antibiotique.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6520"/>
      </w:tblGrid>
      <w:tr w:rsidR="00AB6FF3" w:rsidTr="00636C1C">
        <w:tc>
          <w:tcPr>
            <w:tcW w:w="152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B6FF3" w:rsidRDefault="00AB6FF3">
            <w:r>
              <w:t>Quinolone</w:t>
            </w:r>
          </w:p>
          <w:p w:rsidR="003F1470" w:rsidRDefault="003F1470"/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B6FF3" w:rsidRDefault="00AB6FF3">
            <w:r>
              <w:t>Interactions</w:t>
            </w:r>
          </w:p>
        </w:tc>
        <w:tc>
          <w:tcPr>
            <w:tcW w:w="652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AB6FF3" w:rsidRDefault="00AB6FF3">
            <w:r>
              <w:t>Conduite</w:t>
            </w:r>
          </w:p>
          <w:p w:rsidR="001C5647" w:rsidRDefault="001C5647">
            <w:r>
              <w:t>(selon monographie officielle des produits)</w:t>
            </w:r>
          </w:p>
        </w:tc>
      </w:tr>
      <w:tr w:rsidR="003F1470" w:rsidRPr="00716C06" w:rsidTr="00636C1C">
        <w:tc>
          <w:tcPr>
            <w:tcW w:w="152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3F1470" w:rsidRDefault="003F1470" w:rsidP="00AB6FF3">
            <w:pPr>
              <w:jc w:val="both"/>
            </w:pPr>
            <w:r>
              <w:t>Ciprofloxacine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1470" w:rsidRDefault="003F1470" w:rsidP="00636C1C">
            <w:pPr>
              <w:jc w:val="both"/>
            </w:pPr>
            <w:r w:rsidRPr="007720C2">
              <w:t>Calcium, magnésium, aluminium, fer, zinc</w:t>
            </w:r>
            <w:r w:rsidR="00636C1C">
              <w:t xml:space="preserve">, </w:t>
            </w:r>
            <w:proofErr w:type="spellStart"/>
            <w:r w:rsidR="00D122AD">
              <w:t>s</w:t>
            </w:r>
            <w:r w:rsidR="001C5647">
              <w:t>u</w:t>
            </w:r>
            <w:r>
              <w:t>cralfate</w:t>
            </w:r>
            <w:proofErr w:type="spellEnd"/>
            <w:r>
              <w:t xml:space="preserve"> (aluminium), </w:t>
            </w:r>
            <w:proofErr w:type="spellStart"/>
            <w:r>
              <w:t>Maalox</w:t>
            </w:r>
            <w:proofErr w:type="spellEnd"/>
            <w:r w:rsidR="00636C1C">
              <w:rPr>
                <w:rFonts w:cstheme="minorHAnsi"/>
                <w:vertAlign w:val="superscript"/>
              </w:rPr>
              <w:t>©</w:t>
            </w:r>
            <w:r>
              <w:t xml:space="preserve"> (magnésium et aluminium), </w:t>
            </w:r>
            <w:proofErr w:type="spellStart"/>
            <w:r>
              <w:t>multivitamines</w:t>
            </w:r>
            <w:proofErr w:type="spellEnd"/>
            <w:r>
              <w:t xml:space="preserve"> (zinc)</w:t>
            </w:r>
            <w:r w:rsidR="00D122AD">
              <w:t xml:space="preserve">, </w:t>
            </w:r>
            <w:proofErr w:type="spellStart"/>
            <w:r w:rsidR="00D122AD">
              <w:t>s</w:t>
            </w:r>
            <w:r w:rsidR="00F738AB">
              <w:t>evelamer</w:t>
            </w:r>
            <w:proofErr w:type="spellEnd"/>
            <w:r w:rsidR="00F738AB">
              <w:t xml:space="preserve"> (</w:t>
            </w:r>
            <w:proofErr w:type="spellStart"/>
            <w:r w:rsidR="00F738AB">
              <w:t>Renagel</w:t>
            </w:r>
            <w:proofErr w:type="spellEnd"/>
            <w:r w:rsidR="00F738AB">
              <w:rPr>
                <w:rFonts w:cstheme="minorHAnsi"/>
                <w:vertAlign w:val="superscript"/>
              </w:rPr>
              <w:t>©</w:t>
            </w:r>
            <w:r w:rsidR="00F738AB">
              <w:t xml:space="preserve">, </w:t>
            </w:r>
            <w:proofErr w:type="spellStart"/>
            <w:r w:rsidR="00F738AB">
              <w:t>Renvela</w:t>
            </w:r>
            <w:proofErr w:type="spellEnd"/>
            <w:r w:rsidR="00F738AB">
              <w:rPr>
                <w:rFonts w:cstheme="minorHAnsi"/>
                <w:vertAlign w:val="superscript"/>
              </w:rPr>
              <w:t>©</w:t>
            </w:r>
            <w:r w:rsidR="00F738AB">
              <w:t>)</w:t>
            </w:r>
          </w:p>
          <w:p w:rsidR="00636C1C" w:rsidRDefault="00636C1C" w:rsidP="00636C1C">
            <w:pPr>
              <w:jc w:val="both"/>
            </w:pPr>
          </w:p>
          <w:p w:rsidR="007F0721" w:rsidRDefault="007F0721" w:rsidP="00636C1C">
            <w:pPr>
              <w:jc w:val="both"/>
            </w:pPr>
            <w:proofErr w:type="spellStart"/>
            <w:r>
              <w:t>Lanthanum</w:t>
            </w:r>
            <w:proofErr w:type="spellEnd"/>
            <w:r>
              <w:t xml:space="preserve"> (</w:t>
            </w:r>
            <w:proofErr w:type="spellStart"/>
            <w:r>
              <w:t>Fosrenol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>)</w:t>
            </w:r>
          </w:p>
          <w:p w:rsidR="00636C1C" w:rsidRDefault="00636C1C" w:rsidP="00636C1C">
            <w:pPr>
              <w:jc w:val="both"/>
            </w:pPr>
          </w:p>
          <w:p w:rsidR="007F0721" w:rsidRDefault="007F0721" w:rsidP="00636C1C">
            <w:pPr>
              <w:jc w:val="both"/>
              <w:rPr>
                <w:rFonts w:eastAsia="Times New Roman" w:cstheme="minorHAnsi"/>
                <w:color w:val="333333"/>
                <w:lang w:val="fr-FR" w:eastAsia="fr-CA"/>
              </w:rPr>
            </w:pPr>
          </w:p>
          <w:p w:rsidR="007F0721" w:rsidRPr="00736735" w:rsidRDefault="0010452B" w:rsidP="00636C1C">
            <w:pPr>
              <w:jc w:val="both"/>
              <w:rPr>
                <w:rFonts w:eastAsia="Times New Roman" w:cstheme="minorHAnsi"/>
                <w:color w:val="333333"/>
                <w:lang w:val="fr-FR" w:eastAsia="fr-CA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val="fr-FR" w:eastAsia="fr-CA"/>
              </w:rPr>
              <w:t>O</w:t>
            </w:r>
            <w:r w:rsidR="007F0721" w:rsidRPr="00736735">
              <w:rPr>
                <w:rFonts w:eastAsia="Times New Roman" w:cstheme="minorHAnsi"/>
                <w:color w:val="333333"/>
                <w:lang w:val="fr-FR" w:eastAsia="fr-CA"/>
              </w:rPr>
              <w:t>xyhydroxyde</w:t>
            </w:r>
            <w:proofErr w:type="spellEnd"/>
            <w:r w:rsidR="007F0721"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="007F0721"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="007F0721" w:rsidRPr="00736735">
              <w:rPr>
                <w:rFonts w:eastAsia="Times New Roman" w:cstheme="minorHAnsi"/>
                <w:color w:val="333333"/>
                <w:lang w:val="fr-FR" w:eastAsia="fr-CA"/>
              </w:rPr>
              <w:t>-ferrique (</w:t>
            </w:r>
            <w:proofErr w:type="spellStart"/>
            <w:r w:rsidR="007F0721" w:rsidRPr="00736735">
              <w:rPr>
                <w:rFonts w:eastAsia="Times New Roman" w:cstheme="minorHAnsi"/>
                <w:color w:val="333333"/>
                <w:lang w:val="fr-FR" w:eastAsia="fr-CA"/>
              </w:rPr>
              <w:t>Velphoro</w:t>
            </w:r>
            <w:proofErr w:type="spellEnd"/>
            <w:r w:rsidR="007F0721">
              <w:rPr>
                <w:rFonts w:cstheme="minorHAnsi"/>
                <w:vertAlign w:val="superscript"/>
              </w:rPr>
              <w:t>©</w:t>
            </w:r>
            <w:r w:rsidR="007F0721" w:rsidRPr="00736735">
              <w:rPr>
                <w:rFonts w:eastAsia="Times New Roman" w:cstheme="minorHAnsi"/>
                <w:color w:val="333333"/>
                <w:lang w:val="fr-FR" w:eastAsia="fr-CA"/>
              </w:rPr>
              <w:t>)</w:t>
            </w:r>
          </w:p>
          <w:p w:rsidR="007F0721" w:rsidRPr="00F738AB" w:rsidRDefault="007F0721" w:rsidP="00636C1C">
            <w:pPr>
              <w:jc w:val="both"/>
            </w:pPr>
          </w:p>
        </w:tc>
        <w:tc>
          <w:tcPr>
            <w:tcW w:w="6520" w:type="dxa"/>
            <w:tcBorders>
              <w:top w:val="single" w:sz="24" w:space="0" w:color="auto"/>
              <w:left w:val="single" w:sz="24" w:space="0" w:color="auto"/>
            </w:tcBorders>
          </w:tcPr>
          <w:p w:rsidR="003F1470" w:rsidRDefault="001C5647" w:rsidP="00D122AD">
            <w:pPr>
              <w:jc w:val="both"/>
            </w:pPr>
            <w:r>
              <w:t>Donner c</w:t>
            </w:r>
            <w:r w:rsidR="003F1470">
              <w:t xml:space="preserve">iprofloxacine 2 heures avant </w:t>
            </w:r>
            <w:r w:rsidR="00D122AD">
              <w:t>ou 6 heures après la prise</w:t>
            </w:r>
          </w:p>
          <w:p w:rsidR="007F0721" w:rsidRDefault="007F0721" w:rsidP="00D122AD">
            <w:pPr>
              <w:jc w:val="both"/>
            </w:pPr>
          </w:p>
          <w:p w:rsidR="007F0721" w:rsidRDefault="007F0721" w:rsidP="00D122AD">
            <w:pPr>
              <w:jc w:val="both"/>
            </w:pPr>
          </w:p>
          <w:p w:rsidR="00636C1C" w:rsidRDefault="00636C1C" w:rsidP="00D122AD">
            <w:pPr>
              <w:jc w:val="both"/>
            </w:pPr>
          </w:p>
          <w:p w:rsidR="00D122AD" w:rsidRDefault="00D122AD" w:rsidP="00D122AD">
            <w:pPr>
              <w:jc w:val="both"/>
            </w:pPr>
          </w:p>
          <w:p w:rsidR="007F0721" w:rsidRDefault="007F0721" w:rsidP="00D122AD">
            <w:pPr>
              <w:jc w:val="both"/>
            </w:pPr>
            <w:r>
              <w:t>Donner ciprofloxacine 2 h</w:t>
            </w:r>
            <w:r w:rsidR="00636C1C">
              <w:t>eu</w:t>
            </w:r>
            <w:r>
              <w:t>res avant ou 4 h</w:t>
            </w:r>
            <w:r w:rsidR="00636C1C">
              <w:t>eu</w:t>
            </w:r>
            <w:r>
              <w:t xml:space="preserve">res après </w:t>
            </w:r>
            <w:r w:rsidR="00636C1C">
              <w:t xml:space="preserve">la prise de </w:t>
            </w:r>
            <w:proofErr w:type="spellStart"/>
            <w:r>
              <w:t>lanthanum</w:t>
            </w:r>
            <w:proofErr w:type="spellEnd"/>
          </w:p>
          <w:p w:rsidR="007F0721" w:rsidRDefault="007F0721" w:rsidP="00D122AD">
            <w:pPr>
              <w:jc w:val="both"/>
            </w:pPr>
          </w:p>
          <w:p w:rsidR="007F0721" w:rsidRPr="007F0721" w:rsidRDefault="007F0721" w:rsidP="00D122AD">
            <w:pPr>
              <w:jc w:val="both"/>
              <w:rPr>
                <w:lang w:val="fr-FR"/>
              </w:rPr>
            </w:pPr>
            <w:r>
              <w:t>Donner ciprofloxacine 2 h</w:t>
            </w:r>
            <w:r w:rsidR="00636C1C">
              <w:t>eu</w:t>
            </w:r>
            <w:r>
              <w:t xml:space="preserve">res avant ou après </w:t>
            </w:r>
            <w:r w:rsidR="00636C1C">
              <w:t xml:space="preserve">la </w:t>
            </w:r>
            <w:r>
              <w:t xml:space="preserve">prise </w:t>
            </w:r>
            <w:r w:rsidR="00D122AD">
              <w:t>d’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oxyhydroxyde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-ferrique</w:t>
            </w:r>
          </w:p>
        </w:tc>
      </w:tr>
      <w:tr w:rsidR="003F1470" w:rsidRPr="00716C06" w:rsidTr="00636C1C">
        <w:trPr>
          <w:trHeight w:val="1117"/>
        </w:trPr>
        <w:tc>
          <w:tcPr>
            <w:tcW w:w="152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F1470" w:rsidRDefault="003F1470" w:rsidP="00AB6FF3">
            <w:pPr>
              <w:jc w:val="both"/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1470" w:rsidRPr="00716C06" w:rsidRDefault="003F1470" w:rsidP="00636C1C">
            <w:pPr>
              <w:jc w:val="both"/>
            </w:pPr>
            <w:r>
              <w:t>Calcium alimentaire</w:t>
            </w:r>
          </w:p>
        </w:tc>
        <w:tc>
          <w:tcPr>
            <w:tcW w:w="6520" w:type="dxa"/>
            <w:tcBorders>
              <w:left w:val="single" w:sz="24" w:space="0" w:color="auto"/>
              <w:bottom w:val="single" w:sz="24" w:space="0" w:color="auto"/>
            </w:tcBorders>
          </w:tcPr>
          <w:p w:rsidR="003F1470" w:rsidRDefault="003F1470" w:rsidP="00D122AD">
            <w:pPr>
              <w:jc w:val="both"/>
            </w:pPr>
            <w:r>
              <w:t>Ciprofloxacine peut être donné à l’heure des repas mais on ne doit pas l’administrer avec un repas contenant uniquement de</w:t>
            </w:r>
            <w:r w:rsidR="007720C2">
              <w:t xml:space="preserve">s produits laitiers ou un repas/boisson </w:t>
            </w:r>
            <w:r>
              <w:t>enrichi</w:t>
            </w:r>
            <w:r w:rsidR="007720C2">
              <w:t>s</w:t>
            </w:r>
            <w:r>
              <w:t xml:space="preserve"> ou contenant plus de 800 mg de calcium.</w:t>
            </w:r>
          </w:p>
        </w:tc>
      </w:tr>
      <w:tr w:rsidR="003F1470" w:rsidRPr="00716C06" w:rsidTr="00636C1C">
        <w:tc>
          <w:tcPr>
            <w:tcW w:w="152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3F1470" w:rsidRDefault="003F1470" w:rsidP="00AB6FF3">
            <w:pPr>
              <w:jc w:val="both"/>
            </w:pPr>
            <w:proofErr w:type="spellStart"/>
            <w:r>
              <w:t>Moxifloxacine</w:t>
            </w:r>
            <w:proofErr w:type="spellEnd"/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1470" w:rsidRDefault="003F1470" w:rsidP="00636C1C">
            <w:pPr>
              <w:jc w:val="both"/>
            </w:pPr>
            <w:r>
              <w:t>Magnésium, aluminium, fer, zinc</w:t>
            </w:r>
            <w:r w:rsidR="00636C1C">
              <w:t xml:space="preserve">, </w:t>
            </w:r>
            <w:proofErr w:type="spellStart"/>
            <w:r w:rsidR="0010452B" w:rsidRPr="00736735">
              <w:rPr>
                <w:rFonts w:eastAsia="Times New Roman" w:cstheme="minorHAnsi"/>
                <w:color w:val="333333"/>
                <w:lang w:val="fr-FR" w:eastAsia="fr-CA"/>
              </w:rPr>
              <w:t>oxyhydroxyde</w:t>
            </w:r>
            <w:proofErr w:type="spellEnd"/>
            <w:r w:rsidR="0010452B"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="0010452B"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="0010452B" w:rsidRPr="00736735">
              <w:rPr>
                <w:rFonts w:eastAsia="Times New Roman" w:cstheme="minorHAnsi"/>
                <w:color w:val="333333"/>
                <w:lang w:val="fr-FR" w:eastAsia="fr-CA"/>
              </w:rPr>
              <w:t>-ferrique (</w:t>
            </w:r>
            <w:proofErr w:type="spellStart"/>
            <w:r w:rsidR="0010452B" w:rsidRPr="00736735">
              <w:rPr>
                <w:rFonts w:eastAsia="Times New Roman" w:cstheme="minorHAnsi"/>
                <w:color w:val="333333"/>
                <w:lang w:val="fr-FR" w:eastAsia="fr-CA"/>
              </w:rPr>
              <w:t>Velphoro</w:t>
            </w:r>
            <w:proofErr w:type="spellEnd"/>
            <w:r w:rsidR="0010452B">
              <w:rPr>
                <w:rFonts w:cstheme="minorHAnsi"/>
                <w:vertAlign w:val="superscript"/>
              </w:rPr>
              <w:t>©</w:t>
            </w:r>
            <w:r w:rsidR="0010452B" w:rsidRPr="00736735">
              <w:rPr>
                <w:rFonts w:eastAsia="Times New Roman" w:cstheme="minorHAnsi"/>
                <w:color w:val="333333"/>
                <w:lang w:val="fr-FR" w:eastAsia="fr-CA"/>
              </w:rPr>
              <w:t>)</w:t>
            </w:r>
            <w:r w:rsidR="00636C1C">
              <w:t xml:space="preserve">, </w:t>
            </w:r>
            <w:proofErr w:type="spellStart"/>
            <w:r w:rsidR="00636C1C">
              <w:t>s</w:t>
            </w:r>
            <w:r w:rsidR="001C5647">
              <w:t>ucralfate</w:t>
            </w:r>
            <w:proofErr w:type="spellEnd"/>
            <w:r>
              <w:t xml:space="preserve"> (aluminium), </w:t>
            </w:r>
            <w:proofErr w:type="spellStart"/>
            <w:r>
              <w:t>Maalox</w:t>
            </w:r>
            <w:proofErr w:type="spellEnd"/>
            <w:r w:rsidR="00636C1C">
              <w:rPr>
                <w:rFonts w:cstheme="minorHAnsi"/>
                <w:vertAlign w:val="superscript"/>
              </w:rPr>
              <w:t>©</w:t>
            </w:r>
            <w:r>
              <w:t xml:space="preserve"> (magnésium et aluminium), multivitamines (zinc)</w:t>
            </w:r>
          </w:p>
          <w:p w:rsidR="0010452B" w:rsidRDefault="0010452B" w:rsidP="00636C1C">
            <w:pPr>
              <w:jc w:val="both"/>
            </w:pPr>
          </w:p>
          <w:p w:rsidR="00F738AB" w:rsidRDefault="00F738AB" w:rsidP="00636C1C">
            <w:pPr>
              <w:jc w:val="both"/>
            </w:pPr>
            <w:proofErr w:type="spellStart"/>
            <w:r>
              <w:t>Sevelamer</w:t>
            </w:r>
            <w:proofErr w:type="spellEnd"/>
            <w:r>
              <w:t xml:space="preserve"> (</w:t>
            </w:r>
            <w:proofErr w:type="spellStart"/>
            <w:r>
              <w:t>Renagel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 xml:space="preserve">, </w:t>
            </w:r>
            <w:proofErr w:type="spellStart"/>
            <w:r>
              <w:t>Renvela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>)</w:t>
            </w:r>
          </w:p>
          <w:p w:rsidR="00AD521E" w:rsidRDefault="00AD521E" w:rsidP="00636C1C">
            <w:pPr>
              <w:jc w:val="both"/>
            </w:pPr>
          </w:p>
          <w:p w:rsidR="00636C1C" w:rsidRDefault="00636C1C" w:rsidP="00636C1C">
            <w:pPr>
              <w:jc w:val="both"/>
            </w:pPr>
          </w:p>
          <w:p w:rsidR="0010452B" w:rsidRPr="00AD521E" w:rsidRDefault="00AD521E" w:rsidP="00636C1C">
            <w:pPr>
              <w:jc w:val="both"/>
            </w:pPr>
            <w:proofErr w:type="spellStart"/>
            <w:r>
              <w:t>Lanthanum</w:t>
            </w:r>
            <w:proofErr w:type="spellEnd"/>
            <w:r>
              <w:t xml:space="preserve"> (</w:t>
            </w:r>
            <w:proofErr w:type="spellStart"/>
            <w:r>
              <w:t>Fosrenol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>)</w:t>
            </w:r>
          </w:p>
        </w:tc>
        <w:tc>
          <w:tcPr>
            <w:tcW w:w="6520" w:type="dxa"/>
            <w:tcBorders>
              <w:top w:val="single" w:sz="24" w:space="0" w:color="auto"/>
              <w:left w:val="single" w:sz="24" w:space="0" w:color="auto"/>
            </w:tcBorders>
          </w:tcPr>
          <w:p w:rsidR="00F738AB" w:rsidRDefault="003F1470" w:rsidP="00AB6FF3">
            <w:pPr>
              <w:jc w:val="both"/>
            </w:pPr>
            <w:r>
              <w:t xml:space="preserve">Donner </w:t>
            </w:r>
            <w:proofErr w:type="spellStart"/>
            <w:r>
              <w:t>moxifloxacine</w:t>
            </w:r>
            <w:proofErr w:type="spellEnd"/>
            <w:r>
              <w:t xml:space="preserve"> 4 heures avant ou 8 heures après la prise </w:t>
            </w:r>
          </w:p>
          <w:p w:rsidR="00F738AB" w:rsidRDefault="00F738AB" w:rsidP="00AB6FF3">
            <w:pPr>
              <w:jc w:val="both"/>
            </w:pPr>
          </w:p>
          <w:p w:rsidR="00636C1C" w:rsidRDefault="00636C1C" w:rsidP="00AB6FF3">
            <w:pPr>
              <w:jc w:val="both"/>
            </w:pPr>
          </w:p>
          <w:p w:rsidR="00D122AD" w:rsidRDefault="00D122AD" w:rsidP="00AB6FF3">
            <w:pPr>
              <w:jc w:val="both"/>
            </w:pPr>
          </w:p>
          <w:p w:rsidR="00D122AD" w:rsidRDefault="00D122AD" w:rsidP="00AB6FF3">
            <w:pPr>
              <w:jc w:val="both"/>
            </w:pPr>
          </w:p>
          <w:p w:rsidR="00F738AB" w:rsidRDefault="00F738AB" w:rsidP="00AB6FF3">
            <w:pPr>
              <w:jc w:val="both"/>
            </w:pPr>
            <w:r>
              <w:t xml:space="preserve">Donner </w:t>
            </w:r>
            <w:proofErr w:type="spellStart"/>
            <w:r>
              <w:t>moxifloxacine</w:t>
            </w:r>
            <w:proofErr w:type="spellEnd"/>
            <w:r>
              <w:t xml:space="preserve"> 2 heures avant ou 6 heures après la prise de </w:t>
            </w:r>
            <w:proofErr w:type="spellStart"/>
            <w:r>
              <w:t>sevelamer</w:t>
            </w:r>
            <w:proofErr w:type="spellEnd"/>
          </w:p>
          <w:p w:rsidR="00AD521E" w:rsidRDefault="00AD521E" w:rsidP="00AB6FF3">
            <w:pPr>
              <w:jc w:val="both"/>
            </w:pPr>
          </w:p>
          <w:p w:rsidR="0010452B" w:rsidRDefault="00AD521E" w:rsidP="007F0721">
            <w:pPr>
              <w:jc w:val="both"/>
            </w:pPr>
            <w:r>
              <w:t xml:space="preserve">Donner </w:t>
            </w:r>
            <w:proofErr w:type="spellStart"/>
            <w:r>
              <w:t>moxifloxacine</w:t>
            </w:r>
            <w:proofErr w:type="spellEnd"/>
            <w:r>
              <w:t xml:space="preserve"> 2 h</w:t>
            </w:r>
            <w:r w:rsidR="00636C1C">
              <w:t>eu</w:t>
            </w:r>
            <w:r>
              <w:t xml:space="preserve">res </w:t>
            </w:r>
            <w:r w:rsidR="007F0721">
              <w:t>a</w:t>
            </w:r>
            <w:r>
              <w:t>vant ou 4 h</w:t>
            </w:r>
            <w:r w:rsidR="00636C1C">
              <w:t>eu</w:t>
            </w:r>
            <w:r w:rsidR="007F0721">
              <w:t>r</w:t>
            </w:r>
            <w:r>
              <w:t xml:space="preserve">es après le </w:t>
            </w:r>
            <w:proofErr w:type="spellStart"/>
            <w:r>
              <w:t>lanthanum</w:t>
            </w:r>
            <w:proofErr w:type="spellEnd"/>
          </w:p>
        </w:tc>
      </w:tr>
      <w:tr w:rsidR="003F1470" w:rsidRPr="00716C06" w:rsidTr="00636C1C">
        <w:trPr>
          <w:trHeight w:val="1143"/>
        </w:trPr>
        <w:tc>
          <w:tcPr>
            <w:tcW w:w="152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F1470" w:rsidRDefault="003F1470" w:rsidP="00AB6FF3">
            <w:pPr>
              <w:jc w:val="both"/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1470" w:rsidRDefault="003F1470" w:rsidP="00AB6FF3">
            <w:pPr>
              <w:jc w:val="both"/>
            </w:pPr>
            <w:r>
              <w:t>Calcium</w:t>
            </w:r>
            <w:r w:rsidR="00F738AB">
              <w:t xml:space="preserve"> alimentaire</w:t>
            </w:r>
          </w:p>
        </w:tc>
        <w:tc>
          <w:tcPr>
            <w:tcW w:w="6520" w:type="dxa"/>
            <w:tcBorders>
              <w:left w:val="single" w:sz="24" w:space="0" w:color="auto"/>
              <w:bottom w:val="single" w:sz="24" w:space="0" w:color="auto"/>
            </w:tcBorders>
          </w:tcPr>
          <w:p w:rsidR="003F1470" w:rsidRDefault="003F1470" w:rsidP="00AB6FF3">
            <w:pPr>
              <w:jc w:val="both"/>
            </w:pPr>
            <w:r>
              <w:t xml:space="preserve">Le calcium </w:t>
            </w:r>
            <w:r w:rsidR="001C5647">
              <w:t xml:space="preserve">n’aurait pas d’impact au niveau de l’absorption, mais </w:t>
            </w:r>
            <w:r>
              <w:t>diminuerait légèrement la vitesse d’</w:t>
            </w:r>
            <w:r w:rsidR="001C5647">
              <w:t>absorption.</w:t>
            </w:r>
          </w:p>
          <w:p w:rsidR="007720C2" w:rsidRDefault="003F1470" w:rsidP="00AB6FF3">
            <w:pPr>
              <w:jc w:val="both"/>
            </w:pPr>
            <w:r>
              <w:t>L’interaction avec le calcium n’est pas mentionnée dans la monographie du produit</w:t>
            </w:r>
            <w:r w:rsidR="00F738AB">
              <w:t>.</w:t>
            </w:r>
          </w:p>
        </w:tc>
      </w:tr>
      <w:tr w:rsidR="007720C2" w:rsidRPr="00716C06" w:rsidTr="00636C1C">
        <w:tc>
          <w:tcPr>
            <w:tcW w:w="152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7720C2" w:rsidRDefault="007720C2" w:rsidP="00AB6FF3">
            <w:pPr>
              <w:jc w:val="both"/>
            </w:pPr>
            <w:proofErr w:type="spellStart"/>
            <w:r>
              <w:t>Lévofloxacine</w:t>
            </w:r>
            <w:proofErr w:type="spellEnd"/>
            <w:r>
              <w:t xml:space="preserve"> 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720C2" w:rsidRDefault="007720C2" w:rsidP="003F1470">
            <w:pPr>
              <w:jc w:val="both"/>
            </w:pPr>
            <w:r>
              <w:t>Calcium, magnésium, aluminium, fer, zinc</w:t>
            </w:r>
            <w:r w:rsidR="00636C1C">
              <w:t xml:space="preserve">, </w:t>
            </w:r>
            <w:proofErr w:type="spellStart"/>
            <w:r w:rsidR="00636C1C">
              <w:t>s</w:t>
            </w:r>
            <w:r>
              <w:t>ucralfate</w:t>
            </w:r>
            <w:proofErr w:type="spellEnd"/>
            <w:r>
              <w:t xml:space="preserve"> (aluminium), </w:t>
            </w:r>
            <w:proofErr w:type="spellStart"/>
            <w:r>
              <w:t>Maalox</w:t>
            </w:r>
            <w:proofErr w:type="spellEnd"/>
            <w:r w:rsidR="00636C1C">
              <w:rPr>
                <w:rFonts w:cstheme="minorHAnsi"/>
                <w:vertAlign w:val="superscript"/>
              </w:rPr>
              <w:t>©</w:t>
            </w:r>
            <w:r>
              <w:t xml:space="preserve"> (magnésium et aluminium), multivitamines (zinc)</w:t>
            </w:r>
          </w:p>
          <w:p w:rsidR="00636C1C" w:rsidRDefault="00636C1C" w:rsidP="003F1470">
            <w:pPr>
              <w:jc w:val="both"/>
            </w:pPr>
          </w:p>
          <w:p w:rsidR="00F738AB" w:rsidRDefault="00F738AB" w:rsidP="003F1470">
            <w:pPr>
              <w:jc w:val="both"/>
            </w:pPr>
            <w:proofErr w:type="spellStart"/>
            <w:r>
              <w:t>Sevelamer</w:t>
            </w:r>
            <w:proofErr w:type="spellEnd"/>
            <w:r>
              <w:t xml:space="preserve"> (</w:t>
            </w:r>
            <w:proofErr w:type="spellStart"/>
            <w:r>
              <w:t>Renagel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 xml:space="preserve">, </w:t>
            </w:r>
            <w:proofErr w:type="spellStart"/>
            <w:r>
              <w:t>Renvela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>)</w:t>
            </w:r>
          </w:p>
          <w:p w:rsidR="00FD052B" w:rsidRDefault="00FD052B" w:rsidP="003F1470">
            <w:pPr>
              <w:jc w:val="both"/>
            </w:pPr>
          </w:p>
          <w:p w:rsidR="00AD521E" w:rsidRDefault="00AD521E" w:rsidP="003F1470">
            <w:pPr>
              <w:jc w:val="both"/>
            </w:pPr>
          </w:p>
          <w:p w:rsidR="00AD521E" w:rsidRDefault="00AD521E" w:rsidP="003F1470">
            <w:pPr>
              <w:jc w:val="both"/>
            </w:pPr>
            <w:proofErr w:type="spellStart"/>
            <w:r>
              <w:t>Lanthanum</w:t>
            </w:r>
            <w:proofErr w:type="spellEnd"/>
            <w:r>
              <w:t xml:space="preserve"> (</w:t>
            </w:r>
            <w:proofErr w:type="spellStart"/>
            <w:r>
              <w:t>Fosrenol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t>)</w:t>
            </w:r>
          </w:p>
          <w:p w:rsidR="0010452B" w:rsidRDefault="0010452B" w:rsidP="003F1470">
            <w:pPr>
              <w:jc w:val="both"/>
            </w:pPr>
          </w:p>
          <w:p w:rsidR="0010452B" w:rsidRDefault="0010452B" w:rsidP="003F1470">
            <w:pPr>
              <w:jc w:val="both"/>
            </w:pPr>
          </w:p>
          <w:p w:rsidR="0010452B" w:rsidRPr="00736735" w:rsidRDefault="0010452B" w:rsidP="0010452B">
            <w:pPr>
              <w:rPr>
                <w:rFonts w:eastAsia="Times New Roman" w:cstheme="minorHAnsi"/>
                <w:color w:val="333333"/>
                <w:lang w:val="fr-FR" w:eastAsia="fr-CA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val="fr-FR" w:eastAsia="fr-CA"/>
              </w:rPr>
              <w:t>O</w:t>
            </w:r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xyhydroxyde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-ferrique (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Velphoro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)</w:t>
            </w:r>
          </w:p>
          <w:p w:rsidR="0010452B" w:rsidRDefault="0010452B" w:rsidP="003F1470">
            <w:pPr>
              <w:jc w:val="both"/>
            </w:pPr>
          </w:p>
        </w:tc>
        <w:tc>
          <w:tcPr>
            <w:tcW w:w="65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AB" w:rsidRDefault="007720C2" w:rsidP="00AB6FF3">
            <w:pPr>
              <w:jc w:val="both"/>
            </w:pPr>
            <w:r>
              <w:t xml:space="preserve">Donner </w:t>
            </w:r>
            <w:proofErr w:type="spellStart"/>
            <w:r>
              <w:t>lévofloxacine</w:t>
            </w:r>
            <w:proofErr w:type="spellEnd"/>
            <w:r>
              <w:t xml:space="preserve"> 2 heures avant ou 2</w:t>
            </w:r>
            <w:r w:rsidRPr="003F1470">
              <w:t xml:space="preserve"> heures après la prise </w:t>
            </w:r>
          </w:p>
          <w:p w:rsidR="00F738AB" w:rsidRDefault="00F738AB" w:rsidP="00AB6FF3">
            <w:pPr>
              <w:jc w:val="both"/>
            </w:pPr>
          </w:p>
          <w:p w:rsidR="00D122AD" w:rsidRDefault="00D122AD" w:rsidP="00AB6FF3">
            <w:pPr>
              <w:jc w:val="both"/>
            </w:pPr>
          </w:p>
          <w:p w:rsidR="00D122AD" w:rsidRDefault="00D122AD" w:rsidP="00AB6FF3">
            <w:pPr>
              <w:jc w:val="both"/>
            </w:pPr>
          </w:p>
          <w:p w:rsidR="00F738AB" w:rsidRDefault="00D122AD" w:rsidP="00AB6FF3">
            <w:pPr>
              <w:jc w:val="both"/>
            </w:pPr>
            <w:r>
              <w:t xml:space="preserve">Donner </w:t>
            </w:r>
            <w:proofErr w:type="spellStart"/>
            <w:r w:rsidR="00F738AB">
              <w:t>lévofloxacine</w:t>
            </w:r>
            <w:proofErr w:type="spellEnd"/>
            <w:r w:rsidR="00F738AB">
              <w:t xml:space="preserve"> 2 heures avant ou 6 heures après </w:t>
            </w:r>
            <w:r>
              <w:t xml:space="preserve">la </w:t>
            </w:r>
            <w:r w:rsidR="00F738AB">
              <w:t xml:space="preserve">prise de </w:t>
            </w:r>
            <w:proofErr w:type="spellStart"/>
            <w:r w:rsidR="00F738AB">
              <w:t>Sevelamer</w:t>
            </w:r>
            <w:proofErr w:type="spellEnd"/>
          </w:p>
          <w:p w:rsidR="00FD052B" w:rsidRDefault="00FD052B" w:rsidP="00AB6FF3">
            <w:pPr>
              <w:jc w:val="both"/>
            </w:pPr>
          </w:p>
          <w:p w:rsidR="00AD521E" w:rsidRDefault="00D122AD" w:rsidP="00AB6FF3">
            <w:pPr>
              <w:jc w:val="both"/>
            </w:pPr>
            <w:r>
              <w:t xml:space="preserve">Donner </w:t>
            </w:r>
            <w:proofErr w:type="spellStart"/>
            <w:r w:rsidR="00AD521E">
              <w:t>lévofloxacine</w:t>
            </w:r>
            <w:proofErr w:type="spellEnd"/>
            <w:r w:rsidR="00AD521E">
              <w:t xml:space="preserve"> 2 heures avant ou 4 heures après </w:t>
            </w:r>
            <w:r>
              <w:t xml:space="preserve">la prise de </w:t>
            </w:r>
            <w:proofErr w:type="spellStart"/>
            <w:r w:rsidR="00AD521E">
              <w:t>lanthanum</w:t>
            </w:r>
            <w:proofErr w:type="spellEnd"/>
          </w:p>
          <w:p w:rsidR="0010452B" w:rsidRDefault="0010452B" w:rsidP="00AB6FF3">
            <w:pPr>
              <w:jc w:val="both"/>
            </w:pPr>
          </w:p>
          <w:p w:rsidR="0010452B" w:rsidRPr="00D122AD" w:rsidRDefault="0010452B" w:rsidP="00D122AD">
            <w:pPr>
              <w:rPr>
                <w:rFonts w:eastAsia="Times New Roman" w:cstheme="minorHAnsi"/>
                <w:color w:val="333333"/>
                <w:lang w:val="fr-FR" w:eastAsia="fr-CA"/>
              </w:rPr>
            </w:pPr>
            <w:r>
              <w:t xml:space="preserve">Donner </w:t>
            </w:r>
            <w:proofErr w:type="spellStart"/>
            <w:r>
              <w:t>lévofloxacine</w:t>
            </w:r>
            <w:proofErr w:type="spellEnd"/>
            <w:r>
              <w:t xml:space="preserve"> 2 h</w:t>
            </w:r>
            <w:r w:rsidR="00D122AD">
              <w:t>eu</w:t>
            </w:r>
            <w:r>
              <w:t xml:space="preserve">res avant ou après </w:t>
            </w:r>
            <w:r w:rsidR="00D122AD">
              <w:t xml:space="preserve">la </w:t>
            </w:r>
            <w:r>
              <w:t xml:space="preserve">prise </w:t>
            </w:r>
            <w:r w:rsidR="00D122AD">
              <w:t>d’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oxyhydroxyde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-ferrique (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Velphoro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)</w:t>
            </w:r>
          </w:p>
        </w:tc>
      </w:tr>
      <w:tr w:rsidR="007720C2" w:rsidRPr="00716C06" w:rsidTr="00636C1C">
        <w:tc>
          <w:tcPr>
            <w:tcW w:w="1526" w:type="dxa"/>
            <w:vMerge/>
            <w:tcBorders>
              <w:right w:val="single" w:sz="24" w:space="0" w:color="auto"/>
            </w:tcBorders>
          </w:tcPr>
          <w:p w:rsidR="007720C2" w:rsidRDefault="007720C2" w:rsidP="00AB6FF3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7720C2" w:rsidRDefault="007720C2" w:rsidP="003F1470">
            <w:pPr>
              <w:jc w:val="both"/>
            </w:pPr>
            <w:r>
              <w:t>Calcium alimentaire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4" w:space="0" w:color="auto"/>
            </w:tcBorders>
          </w:tcPr>
          <w:p w:rsidR="007720C2" w:rsidRDefault="007720C2" w:rsidP="00AB6FF3">
            <w:pPr>
              <w:jc w:val="both"/>
            </w:pPr>
            <w:r>
              <w:t xml:space="preserve">Aucune mention dans la monographie </w:t>
            </w:r>
          </w:p>
          <w:p w:rsidR="007720C2" w:rsidRDefault="007720C2" w:rsidP="00AB6FF3">
            <w:pPr>
              <w:jc w:val="both"/>
            </w:pPr>
          </w:p>
        </w:tc>
      </w:tr>
    </w:tbl>
    <w:p w:rsidR="001C5647" w:rsidRPr="007720C2" w:rsidRDefault="003F1470" w:rsidP="0062034A">
      <w:pPr>
        <w:rPr>
          <w:noProof/>
          <w:lang w:val="en-CA" w:eastAsia="fr-CA"/>
        </w:rPr>
      </w:pPr>
      <w:r w:rsidRPr="000467CC">
        <w:rPr>
          <w:lang w:val="en-CA"/>
        </w:rPr>
        <w:br w:type="page"/>
      </w:r>
      <w:r w:rsidR="001C5647">
        <w:rPr>
          <w:noProof/>
          <w:lang w:eastAsia="fr-CA"/>
        </w:rPr>
        <w:lastRenderedPageBreak/>
        <w:drawing>
          <wp:inline distT="0" distB="0" distL="0" distR="0" wp14:anchorId="5AE6BE19" wp14:editId="6117B998">
            <wp:extent cx="8229600" cy="2608028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724" cy="26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647" w:rsidRPr="007720C2">
        <w:rPr>
          <w:noProof/>
          <w:lang w:val="en-CA" w:eastAsia="fr-CA"/>
        </w:rPr>
        <w:t xml:space="preserve"> </w:t>
      </w:r>
      <w:r>
        <w:rPr>
          <w:noProof/>
          <w:lang w:eastAsia="fr-CA"/>
        </w:rPr>
        <w:drawing>
          <wp:inline distT="0" distB="0" distL="0" distR="0" wp14:anchorId="6637E75D" wp14:editId="09B3D140">
            <wp:extent cx="8219661" cy="231383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31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47" w:rsidRPr="0062034A" w:rsidRDefault="003F1470" w:rsidP="0062034A">
      <w:pPr>
        <w:jc w:val="center"/>
        <w:rPr>
          <w:noProof/>
          <w:sz w:val="18"/>
          <w:lang w:val="en-CA" w:eastAsia="fr-CA"/>
        </w:rPr>
      </w:pPr>
      <w:r w:rsidRPr="001C5647">
        <w:rPr>
          <w:noProof/>
          <w:sz w:val="18"/>
          <w:lang w:val="en-CA" w:eastAsia="fr-CA"/>
        </w:rPr>
        <w:t>Pitman S, Hoang U, Wi C et al.  Revis</w:t>
      </w:r>
      <w:r w:rsidR="001C5647" w:rsidRPr="001C5647">
        <w:rPr>
          <w:noProof/>
          <w:sz w:val="18"/>
          <w:lang w:val="en-CA" w:eastAsia="fr-CA"/>
        </w:rPr>
        <w:t>iting Oral Fluoroquinolone and M</w:t>
      </w:r>
      <w:r w:rsidRPr="001C5647">
        <w:rPr>
          <w:noProof/>
          <w:sz w:val="18"/>
          <w:lang w:val="en-CA" w:eastAsia="fr-CA"/>
        </w:rPr>
        <w:t xml:space="preserve">ultivalent </w:t>
      </w:r>
      <w:r w:rsidR="001C5647" w:rsidRPr="001C5647">
        <w:rPr>
          <w:noProof/>
          <w:sz w:val="18"/>
          <w:lang w:val="en-CA" w:eastAsia="fr-CA"/>
        </w:rPr>
        <w:t>Cation Drug-Drug Interactions:  Are They Still Relev</w:t>
      </w:r>
      <w:r w:rsidR="0062034A">
        <w:rPr>
          <w:noProof/>
          <w:sz w:val="18"/>
          <w:lang w:val="en-CA" w:eastAsia="fr-CA"/>
        </w:rPr>
        <w:t>ant ?  Antibiotics 2019, 8, 108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6237"/>
      </w:tblGrid>
      <w:tr w:rsidR="001C5647" w:rsidTr="001F509B">
        <w:tc>
          <w:tcPr>
            <w:tcW w:w="180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C5647" w:rsidRDefault="001C5647" w:rsidP="001C5647">
            <w:r>
              <w:lastRenderedPageBreak/>
              <w:t>Tétracycline</w:t>
            </w: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C5647" w:rsidRDefault="001C5647" w:rsidP="001F509B">
            <w:r>
              <w:t>Interactions</w:t>
            </w:r>
          </w:p>
        </w:tc>
        <w:tc>
          <w:tcPr>
            <w:tcW w:w="62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1C5647" w:rsidRDefault="001C5647" w:rsidP="001F509B">
            <w:r>
              <w:t>Conduite</w:t>
            </w:r>
          </w:p>
          <w:p w:rsidR="001C5647" w:rsidRDefault="001C5647" w:rsidP="001F509B">
            <w:r>
              <w:t>(selon monographie officielle des produits)</w:t>
            </w:r>
          </w:p>
        </w:tc>
      </w:tr>
      <w:tr w:rsidR="001C5647" w:rsidRPr="00716C06" w:rsidTr="001F509B">
        <w:tc>
          <w:tcPr>
            <w:tcW w:w="1809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C5647" w:rsidRDefault="001C5647" w:rsidP="001F509B">
            <w:pPr>
              <w:jc w:val="both"/>
            </w:pPr>
            <w:proofErr w:type="spellStart"/>
            <w:r>
              <w:t>Doxycycline</w:t>
            </w:r>
            <w:proofErr w:type="spellEnd"/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C5647" w:rsidRDefault="001C5647" w:rsidP="001F509B">
            <w:pPr>
              <w:jc w:val="both"/>
            </w:pPr>
            <w:r w:rsidRPr="001C5647">
              <w:t xml:space="preserve">Calcium, magnésium, aluminium, </w:t>
            </w:r>
            <w:r>
              <w:t>fer, bismuth</w:t>
            </w:r>
            <w:r w:rsidR="00636C1C">
              <w:t xml:space="preserve">, </w:t>
            </w:r>
            <w:proofErr w:type="spellStart"/>
            <w:r w:rsidR="00636C1C">
              <w:t>s</w:t>
            </w:r>
            <w:r>
              <w:t>ucralfate</w:t>
            </w:r>
            <w:proofErr w:type="spellEnd"/>
            <w:r>
              <w:t xml:space="preserve"> (aluminium), </w:t>
            </w:r>
            <w:proofErr w:type="spellStart"/>
            <w:r>
              <w:t>Maalox</w:t>
            </w:r>
            <w:proofErr w:type="spellEnd"/>
            <w:r w:rsidR="00636C1C">
              <w:rPr>
                <w:rFonts w:cstheme="minorHAnsi"/>
                <w:vertAlign w:val="superscript"/>
              </w:rPr>
              <w:t>©</w:t>
            </w:r>
            <w:r>
              <w:t xml:space="preserve"> (magnésium et aluminium), multivitamines (zinc)</w:t>
            </w:r>
          </w:p>
          <w:p w:rsidR="0010452B" w:rsidRDefault="0010452B" w:rsidP="001F509B">
            <w:pPr>
              <w:jc w:val="both"/>
            </w:pPr>
          </w:p>
          <w:p w:rsidR="0010452B" w:rsidRDefault="0010452B" w:rsidP="0010452B">
            <w:pPr>
              <w:jc w:val="both"/>
              <w:rPr>
                <w:rFonts w:cstheme="minorHAnsi"/>
              </w:rPr>
            </w:pPr>
            <w:proofErr w:type="spellStart"/>
            <w:r>
              <w:t>Lanthanum</w:t>
            </w:r>
            <w:proofErr w:type="spellEnd"/>
            <w:r>
              <w:t xml:space="preserve"> (</w:t>
            </w:r>
            <w:proofErr w:type="spellStart"/>
            <w:r>
              <w:t>Fosrenol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 w:rsidR="00877575">
              <w:rPr>
                <w:rFonts w:cstheme="minorHAnsi"/>
              </w:rPr>
              <w:t>)</w:t>
            </w:r>
          </w:p>
          <w:p w:rsidR="0010452B" w:rsidRPr="00716C06" w:rsidRDefault="0010452B" w:rsidP="00D122AD"/>
        </w:tc>
        <w:tc>
          <w:tcPr>
            <w:tcW w:w="6237" w:type="dxa"/>
            <w:tcBorders>
              <w:top w:val="single" w:sz="24" w:space="0" w:color="auto"/>
              <w:left w:val="single" w:sz="24" w:space="0" w:color="auto"/>
            </w:tcBorders>
          </w:tcPr>
          <w:p w:rsidR="001C5647" w:rsidRDefault="001C5647" w:rsidP="001F509B">
            <w:pPr>
              <w:jc w:val="both"/>
            </w:pPr>
            <w:r>
              <w:t xml:space="preserve">Ne pas prendre </w:t>
            </w:r>
            <w:r w:rsidR="00755C0B">
              <w:t>d’</w:t>
            </w:r>
            <w:r>
              <w:t xml:space="preserve">ions multivalents dans les 2-3 heures suivant la prise de </w:t>
            </w:r>
            <w:proofErr w:type="spellStart"/>
            <w:r>
              <w:t>doxycycline</w:t>
            </w:r>
            <w:proofErr w:type="spellEnd"/>
            <w:r>
              <w:t xml:space="preserve"> (monographie)</w:t>
            </w:r>
            <w:r w:rsidR="00D122AD">
              <w:t xml:space="preserve">.  </w:t>
            </w:r>
            <w:r>
              <w:t xml:space="preserve">Espacer la prise de 2 heures </w:t>
            </w:r>
            <w:r w:rsidR="00755C0B">
              <w:t>avec les ions multivalents (Vigilance)</w:t>
            </w:r>
          </w:p>
          <w:p w:rsidR="0010452B" w:rsidRDefault="0010452B" w:rsidP="001F509B">
            <w:pPr>
              <w:jc w:val="both"/>
            </w:pPr>
          </w:p>
          <w:p w:rsidR="00877575" w:rsidRPr="00D122AD" w:rsidRDefault="00D122AD" w:rsidP="00D122AD">
            <w:pPr>
              <w:jc w:val="both"/>
              <w:rPr>
                <w:rFonts w:cstheme="minorHAnsi"/>
              </w:rPr>
            </w:pPr>
            <w:r>
              <w:t xml:space="preserve">Donner </w:t>
            </w:r>
            <w:r w:rsidR="00877575">
              <w:t xml:space="preserve">la </w:t>
            </w:r>
            <w:proofErr w:type="spellStart"/>
            <w:r w:rsidR="00877575">
              <w:t>doxycycline</w:t>
            </w:r>
            <w:proofErr w:type="spellEnd"/>
            <w:r w:rsidR="00877575">
              <w:t xml:space="preserve"> 2 heures avant ou après la prise de </w:t>
            </w:r>
            <w:proofErr w:type="spellStart"/>
            <w:r w:rsidR="00877575">
              <w:t>Lanthanum</w:t>
            </w:r>
            <w:proofErr w:type="spellEnd"/>
            <w:r w:rsidR="00877575">
              <w:t xml:space="preserve"> </w:t>
            </w:r>
          </w:p>
        </w:tc>
      </w:tr>
      <w:tr w:rsidR="001C5647" w:rsidRPr="00716C06" w:rsidTr="00755C0B">
        <w:trPr>
          <w:trHeight w:val="1123"/>
        </w:trPr>
        <w:tc>
          <w:tcPr>
            <w:tcW w:w="18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C5647" w:rsidRDefault="001C5647" w:rsidP="001F509B">
            <w:pPr>
              <w:jc w:val="both"/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5647" w:rsidRPr="00716C06" w:rsidRDefault="001C5647" w:rsidP="001F509B">
            <w:pPr>
              <w:jc w:val="both"/>
            </w:pPr>
            <w:r>
              <w:t>Calcium alimentaire</w:t>
            </w:r>
          </w:p>
        </w:tc>
        <w:tc>
          <w:tcPr>
            <w:tcW w:w="6237" w:type="dxa"/>
            <w:tcBorders>
              <w:left w:val="single" w:sz="24" w:space="0" w:color="auto"/>
              <w:bottom w:val="single" w:sz="24" w:space="0" w:color="auto"/>
            </w:tcBorders>
          </w:tcPr>
          <w:p w:rsidR="007720C2" w:rsidRDefault="007720C2" w:rsidP="001F509B">
            <w:pPr>
              <w:jc w:val="both"/>
            </w:pPr>
            <w:r>
              <w:t>L’ingestion de nourriture retard</w:t>
            </w:r>
            <w:r w:rsidR="005479EC">
              <w:t>e</w:t>
            </w:r>
            <w:r>
              <w:t xml:space="preserve"> et réduit l’absorption de la </w:t>
            </w:r>
            <w:proofErr w:type="spellStart"/>
            <w:r>
              <w:t>doxycycline</w:t>
            </w:r>
            <w:proofErr w:type="spellEnd"/>
            <w:r>
              <w:t xml:space="preserve">.  Prendre la </w:t>
            </w:r>
            <w:proofErr w:type="spellStart"/>
            <w:r>
              <w:t>doxycycline</w:t>
            </w:r>
            <w:proofErr w:type="spellEnd"/>
            <w:r>
              <w:t xml:space="preserve"> 1</w:t>
            </w:r>
            <w:r w:rsidR="00D122AD">
              <w:t xml:space="preserve"> </w:t>
            </w:r>
            <w:r>
              <w:t>h</w:t>
            </w:r>
            <w:r w:rsidR="00D122AD">
              <w:t>eure</w:t>
            </w:r>
            <w:r>
              <w:t xml:space="preserve"> avant ou 2</w:t>
            </w:r>
            <w:r w:rsidR="00D122AD">
              <w:t xml:space="preserve"> </w:t>
            </w:r>
            <w:r>
              <w:t>h</w:t>
            </w:r>
            <w:r w:rsidR="00D122AD">
              <w:t>eures</w:t>
            </w:r>
            <w:r>
              <w:t xml:space="preserve"> après un repas. </w:t>
            </w:r>
          </w:p>
          <w:p w:rsidR="007720C2" w:rsidRDefault="007720C2" w:rsidP="001F509B">
            <w:pPr>
              <w:jc w:val="both"/>
            </w:pPr>
            <w:r>
              <w:t>Les aliments riches en ions bivalents (dont le calcium) doivent être pris de 2-3</w:t>
            </w:r>
            <w:r w:rsidR="00D122AD">
              <w:t xml:space="preserve"> </w:t>
            </w:r>
            <w:r>
              <w:t>h</w:t>
            </w:r>
            <w:r w:rsidR="00D122AD">
              <w:t>eures</w:t>
            </w:r>
            <w:r>
              <w:t xml:space="preserve"> après l’ingestion de </w:t>
            </w:r>
            <w:proofErr w:type="spellStart"/>
            <w:r>
              <w:t>doxycycline</w:t>
            </w:r>
            <w:proofErr w:type="spellEnd"/>
            <w:r>
              <w:t>.</w:t>
            </w:r>
          </w:p>
        </w:tc>
      </w:tr>
      <w:tr w:rsidR="001C5647" w:rsidRPr="00716C06" w:rsidTr="001F509B">
        <w:tc>
          <w:tcPr>
            <w:tcW w:w="1809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C5647" w:rsidRDefault="00755C0B" w:rsidP="001F509B">
            <w:pPr>
              <w:jc w:val="both"/>
            </w:pPr>
            <w:proofErr w:type="spellStart"/>
            <w:r>
              <w:t>Minocycline</w:t>
            </w:r>
            <w:proofErr w:type="spellEnd"/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C5647" w:rsidRDefault="00755C0B" w:rsidP="00755C0B">
            <w:pPr>
              <w:jc w:val="both"/>
            </w:pPr>
            <w:r w:rsidRPr="001C5647">
              <w:t xml:space="preserve">Calcium, magnésium, aluminium, </w:t>
            </w:r>
            <w:r>
              <w:t>fer, bismuth</w:t>
            </w:r>
            <w:r w:rsidR="00D122AD">
              <w:t xml:space="preserve">, </w:t>
            </w:r>
            <w:proofErr w:type="spellStart"/>
            <w:r w:rsidR="00D122AD">
              <w:t>s</w:t>
            </w:r>
            <w:r>
              <w:t>ucralfate</w:t>
            </w:r>
            <w:proofErr w:type="spellEnd"/>
            <w:r>
              <w:t xml:space="preserve"> (aluminium), </w:t>
            </w:r>
            <w:proofErr w:type="spellStart"/>
            <w:r>
              <w:t>Maalox</w:t>
            </w:r>
            <w:proofErr w:type="spellEnd"/>
            <w:r w:rsidR="00D122AD">
              <w:rPr>
                <w:rFonts w:cstheme="minorHAnsi"/>
                <w:vertAlign w:val="superscript"/>
              </w:rPr>
              <w:t>©</w:t>
            </w:r>
            <w:r>
              <w:t xml:space="preserve"> (magnésium et aluminium), multivitamines (zinc)</w:t>
            </w:r>
          </w:p>
          <w:p w:rsidR="0010452B" w:rsidRDefault="0010452B" w:rsidP="00755C0B">
            <w:pPr>
              <w:jc w:val="both"/>
            </w:pPr>
          </w:p>
          <w:p w:rsidR="00877575" w:rsidRPr="00877575" w:rsidRDefault="00877575" w:rsidP="00877575">
            <w:pPr>
              <w:jc w:val="both"/>
            </w:pPr>
            <w:proofErr w:type="spellStart"/>
            <w:r>
              <w:t>Lanthanum</w:t>
            </w:r>
            <w:proofErr w:type="spellEnd"/>
            <w:r>
              <w:t xml:space="preserve"> (</w:t>
            </w:r>
            <w:proofErr w:type="spellStart"/>
            <w:r>
              <w:t>Fosrenol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>
              <w:rPr>
                <w:rFonts w:cstheme="minorHAnsi"/>
              </w:rPr>
              <w:t>)</w:t>
            </w:r>
          </w:p>
          <w:p w:rsidR="0010452B" w:rsidRDefault="0010452B" w:rsidP="00755C0B">
            <w:pPr>
              <w:jc w:val="both"/>
            </w:pPr>
          </w:p>
          <w:p w:rsidR="00877575" w:rsidRDefault="00877575" w:rsidP="00755C0B">
            <w:pPr>
              <w:jc w:val="both"/>
            </w:pPr>
          </w:p>
          <w:p w:rsidR="00877575" w:rsidRPr="00736735" w:rsidRDefault="00877575" w:rsidP="00877575">
            <w:pPr>
              <w:rPr>
                <w:rFonts w:eastAsia="Times New Roman" w:cstheme="minorHAnsi"/>
                <w:color w:val="333333"/>
                <w:lang w:val="fr-FR" w:eastAsia="fr-CA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val="fr-FR" w:eastAsia="fr-CA"/>
              </w:rPr>
              <w:t>O</w:t>
            </w:r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xyhydroxyde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-ferrique (</w:t>
            </w:r>
            <w:proofErr w:type="spellStart"/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Velphoro</w:t>
            </w:r>
            <w:proofErr w:type="spellEnd"/>
            <w:r>
              <w:rPr>
                <w:rFonts w:cstheme="minorHAnsi"/>
                <w:vertAlign w:val="superscript"/>
              </w:rPr>
              <w:t>©</w:t>
            </w:r>
            <w:r w:rsidRPr="00736735">
              <w:rPr>
                <w:rFonts w:eastAsia="Times New Roman" w:cstheme="minorHAnsi"/>
                <w:color w:val="333333"/>
                <w:lang w:val="fr-FR" w:eastAsia="fr-CA"/>
              </w:rPr>
              <w:t>)</w:t>
            </w:r>
          </w:p>
          <w:p w:rsidR="00877575" w:rsidRDefault="00877575" w:rsidP="00755C0B">
            <w:pPr>
              <w:jc w:val="both"/>
            </w:pPr>
          </w:p>
        </w:tc>
        <w:tc>
          <w:tcPr>
            <w:tcW w:w="6237" w:type="dxa"/>
            <w:tcBorders>
              <w:top w:val="single" w:sz="24" w:space="0" w:color="auto"/>
              <w:left w:val="single" w:sz="24" w:space="0" w:color="auto"/>
            </w:tcBorders>
          </w:tcPr>
          <w:p w:rsidR="001C5647" w:rsidRDefault="00755C0B" w:rsidP="001F509B">
            <w:pPr>
              <w:jc w:val="both"/>
            </w:pPr>
            <w:r>
              <w:t xml:space="preserve">Ne pas donner en même temps que la </w:t>
            </w:r>
            <w:proofErr w:type="spellStart"/>
            <w:r>
              <w:t>minocycline</w:t>
            </w:r>
            <w:proofErr w:type="spellEnd"/>
            <w:r>
              <w:t xml:space="preserve"> (monographie)</w:t>
            </w:r>
          </w:p>
          <w:p w:rsidR="00755C0B" w:rsidRDefault="00755C0B" w:rsidP="00755C0B">
            <w:pPr>
              <w:jc w:val="both"/>
            </w:pPr>
            <w:r>
              <w:t>Espacer la prise de 2 heures avec les ions multivalents (Vigilance)</w:t>
            </w:r>
          </w:p>
          <w:p w:rsidR="0010452B" w:rsidRDefault="0010452B" w:rsidP="00755C0B">
            <w:pPr>
              <w:jc w:val="both"/>
            </w:pPr>
          </w:p>
          <w:p w:rsidR="0010452B" w:rsidRDefault="0010452B" w:rsidP="00755C0B">
            <w:pPr>
              <w:jc w:val="both"/>
            </w:pPr>
          </w:p>
          <w:p w:rsidR="00877575" w:rsidRDefault="000467CC" w:rsidP="00877575">
            <w:pPr>
              <w:jc w:val="both"/>
              <w:rPr>
                <w:rFonts w:cstheme="minorHAnsi"/>
              </w:rPr>
            </w:pPr>
            <w:r>
              <w:t xml:space="preserve">Donner </w:t>
            </w:r>
            <w:r w:rsidR="00877575">
              <w:t xml:space="preserve">la </w:t>
            </w:r>
            <w:proofErr w:type="spellStart"/>
            <w:r w:rsidR="00877575">
              <w:t>minocycline</w:t>
            </w:r>
            <w:proofErr w:type="spellEnd"/>
            <w:r w:rsidR="00877575">
              <w:t xml:space="preserve"> 2 heures avant ou après la prise de </w:t>
            </w:r>
            <w:proofErr w:type="spellStart"/>
            <w:r w:rsidR="00877575">
              <w:t>Lanthanum</w:t>
            </w:r>
            <w:proofErr w:type="spellEnd"/>
            <w:r w:rsidR="00877575">
              <w:t xml:space="preserve"> </w:t>
            </w:r>
          </w:p>
          <w:p w:rsidR="00877575" w:rsidRDefault="00877575" w:rsidP="00877575">
            <w:pPr>
              <w:jc w:val="both"/>
              <w:rPr>
                <w:rFonts w:cstheme="minorHAnsi"/>
              </w:rPr>
            </w:pPr>
          </w:p>
          <w:p w:rsidR="00877575" w:rsidRPr="00877575" w:rsidRDefault="00D122AD" w:rsidP="00D122AD">
            <w:pPr>
              <w:rPr>
                <w:lang w:val="fr-FR"/>
              </w:rPr>
            </w:pPr>
            <w:r>
              <w:rPr>
                <w:rFonts w:cstheme="minorHAnsi"/>
              </w:rPr>
              <w:t xml:space="preserve">Donner la </w:t>
            </w:r>
            <w:proofErr w:type="spellStart"/>
            <w:r w:rsidR="00877575">
              <w:rPr>
                <w:rFonts w:cstheme="minorHAnsi"/>
              </w:rPr>
              <w:t>minocycyline</w:t>
            </w:r>
            <w:proofErr w:type="spellEnd"/>
            <w:r w:rsidR="00877575">
              <w:rPr>
                <w:rFonts w:cstheme="minorHAnsi"/>
              </w:rPr>
              <w:t xml:space="preserve"> au moins 2 heures avant ou 2-3 h</w:t>
            </w:r>
            <w:r>
              <w:rPr>
                <w:rFonts w:cstheme="minorHAnsi"/>
              </w:rPr>
              <w:t>eu</w:t>
            </w:r>
            <w:r w:rsidR="00877575">
              <w:rPr>
                <w:rFonts w:cstheme="minorHAnsi"/>
              </w:rPr>
              <w:t>res apr</w:t>
            </w:r>
            <w:r>
              <w:rPr>
                <w:rFonts w:cstheme="minorHAnsi"/>
              </w:rPr>
              <w:t>ès prise d’o</w:t>
            </w:r>
            <w:proofErr w:type="spellStart"/>
            <w:r w:rsidR="00877575" w:rsidRPr="00736735">
              <w:rPr>
                <w:rFonts w:eastAsia="Times New Roman" w:cstheme="minorHAnsi"/>
                <w:color w:val="333333"/>
                <w:lang w:val="fr-FR" w:eastAsia="fr-CA"/>
              </w:rPr>
              <w:t>xyhydroxyde</w:t>
            </w:r>
            <w:proofErr w:type="spellEnd"/>
            <w:r w:rsidR="00877575"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 </w:t>
            </w:r>
            <w:proofErr w:type="spellStart"/>
            <w:r w:rsidR="00877575" w:rsidRPr="00736735">
              <w:rPr>
                <w:rFonts w:eastAsia="Times New Roman" w:cstheme="minorHAnsi"/>
                <w:color w:val="333333"/>
                <w:lang w:val="fr-FR" w:eastAsia="fr-CA"/>
              </w:rPr>
              <w:t>sucro</w:t>
            </w:r>
            <w:proofErr w:type="spellEnd"/>
            <w:r w:rsidR="00877575" w:rsidRPr="00736735">
              <w:rPr>
                <w:rFonts w:eastAsia="Times New Roman" w:cstheme="minorHAnsi"/>
                <w:color w:val="333333"/>
                <w:lang w:val="fr-FR" w:eastAsia="fr-CA"/>
              </w:rPr>
              <w:t xml:space="preserve">-ferrique </w:t>
            </w:r>
          </w:p>
        </w:tc>
      </w:tr>
      <w:tr w:rsidR="001C5647" w:rsidRPr="00716C06" w:rsidTr="001F509B">
        <w:tc>
          <w:tcPr>
            <w:tcW w:w="18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C5647" w:rsidRDefault="001C5647" w:rsidP="001F509B">
            <w:pPr>
              <w:jc w:val="both"/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5647" w:rsidRDefault="001C5647" w:rsidP="001F509B">
            <w:pPr>
              <w:jc w:val="both"/>
            </w:pPr>
            <w:r>
              <w:t>Calcium</w:t>
            </w:r>
            <w:r w:rsidR="00755C0B">
              <w:t xml:space="preserve"> alimentaire </w:t>
            </w:r>
          </w:p>
        </w:tc>
        <w:tc>
          <w:tcPr>
            <w:tcW w:w="6237" w:type="dxa"/>
            <w:tcBorders>
              <w:left w:val="single" w:sz="24" w:space="0" w:color="auto"/>
              <w:bottom w:val="single" w:sz="24" w:space="0" w:color="auto"/>
            </w:tcBorders>
          </w:tcPr>
          <w:p w:rsidR="001C5647" w:rsidRDefault="00755C0B" w:rsidP="001F509B">
            <w:pPr>
              <w:jc w:val="both"/>
            </w:pPr>
            <w:r>
              <w:t xml:space="preserve">Le calcium alimentaire aurait plus d’impact sur l’absorption de la tétracycline (diminution de concentration sérique moyenne de 65 %) que sur celle de la </w:t>
            </w:r>
            <w:proofErr w:type="spellStart"/>
            <w:r>
              <w:t>minocycline</w:t>
            </w:r>
            <w:proofErr w:type="spellEnd"/>
            <w:r>
              <w:t xml:space="preserve"> (diminution de concentration sérique moyenne de 27 %)</w:t>
            </w:r>
          </w:p>
        </w:tc>
      </w:tr>
    </w:tbl>
    <w:p w:rsidR="001C5647" w:rsidRDefault="001C5647" w:rsidP="001C5647">
      <w:pPr>
        <w:tabs>
          <w:tab w:val="left" w:pos="563"/>
        </w:tabs>
        <w:rPr>
          <w:noProof/>
          <w:lang w:eastAsia="fr-CA"/>
        </w:rPr>
      </w:pPr>
    </w:p>
    <w:p w:rsidR="00D122AD" w:rsidRPr="001C5647" w:rsidRDefault="004D0829" w:rsidP="00D122AD">
      <w:pPr>
        <w:tabs>
          <w:tab w:val="left" w:pos="563"/>
        </w:tabs>
        <w:rPr>
          <w:noProof/>
          <w:lang w:eastAsia="fr-CA"/>
        </w:rPr>
      </w:pPr>
      <w:r>
        <w:rPr>
          <w:noProof/>
          <w:lang w:eastAsia="fr-CA"/>
        </w:rPr>
        <w:t xml:space="preserve">M Gilbert, ph      5-12-2021 </w:t>
      </w:r>
      <w:r w:rsidR="00D122AD">
        <w:rPr>
          <w:noProof/>
          <w:lang w:eastAsia="fr-CA"/>
        </w:rPr>
        <w:tab/>
      </w:r>
      <w:r w:rsidR="00D122AD">
        <w:rPr>
          <w:noProof/>
          <w:lang w:eastAsia="fr-CA"/>
        </w:rPr>
        <w:tab/>
        <w:t>Révision par J Dion, ph 07-02-2022</w:t>
      </w:r>
      <w:bookmarkStart w:id="0" w:name="_GoBack"/>
      <w:bookmarkEnd w:id="0"/>
    </w:p>
    <w:p w:rsidR="00D122AD" w:rsidRPr="001C5647" w:rsidRDefault="0062034A">
      <w:pPr>
        <w:tabs>
          <w:tab w:val="left" w:pos="563"/>
        </w:tabs>
        <w:rPr>
          <w:noProof/>
          <w:lang w:eastAsia="fr-CA"/>
        </w:rPr>
      </w:pPr>
      <w:r>
        <w:rPr>
          <w:noProof/>
          <w:lang w:eastAsia="fr-CA"/>
        </w:rPr>
        <w:t>Approuvé par le comité de pharmacologie du CIUSSS de l’Estrie-CHUS 17-01-2022</w:t>
      </w:r>
    </w:p>
    <w:sectPr w:rsidR="00D122AD" w:rsidRPr="001C5647" w:rsidSect="00716C0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CA" w:rsidRDefault="00F170CA" w:rsidP="001C5647">
      <w:pPr>
        <w:spacing w:after="0" w:line="240" w:lineRule="auto"/>
      </w:pPr>
      <w:r>
        <w:separator/>
      </w:r>
    </w:p>
  </w:endnote>
  <w:endnote w:type="continuationSeparator" w:id="0">
    <w:p w:rsidR="00F170CA" w:rsidRDefault="00F170CA" w:rsidP="001C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CA" w:rsidRDefault="00F170CA" w:rsidP="001C5647">
      <w:pPr>
        <w:spacing w:after="0" w:line="240" w:lineRule="auto"/>
      </w:pPr>
      <w:r>
        <w:separator/>
      </w:r>
    </w:p>
  </w:footnote>
  <w:footnote w:type="continuationSeparator" w:id="0">
    <w:p w:rsidR="00F170CA" w:rsidRDefault="00F170CA" w:rsidP="001C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029"/>
    <w:multiLevelType w:val="multilevel"/>
    <w:tmpl w:val="06B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06"/>
    <w:rsid w:val="000467CC"/>
    <w:rsid w:val="0010452B"/>
    <w:rsid w:val="001C5647"/>
    <w:rsid w:val="00225215"/>
    <w:rsid w:val="003F1470"/>
    <w:rsid w:val="004221DB"/>
    <w:rsid w:val="004C1E66"/>
    <w:rsid w:val="004D0829"/>
    <w:rsid w:val="005479EC"/>
    <w:rsid w:val="0059756F"/>
    <w:rsid w:val="0062034A"/>
    <w:rsid w:val="00636C1C"/>
    <w:rsid w:val="00716C06"/>
    <w:rsid w:val="00755C0B"/>
    <w:rsid w:val="007720C2"/>
    <w:rsid w:val="007F0721"/>
    <w:rsid w:val="00877575"/>
    <w:rsid w:val="00965869"/>
    <w:rsid w:val="00AB6FF3"/>
    <w:rsid w:val="00AD521E"/>
    <w:rsid w:val="00D122AD"/>
    <w:rsid w:val="00F170CA"/>
    <w:rsid w:val="00F738AB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F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C56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647"/>
  </w:style>
  <w:style w:type="paragraph" w:styleId="Pieddepage">
    <w:name w:val="footer"/>
    <w:basedOn w:val="Normal"/>
    <w:link w:val="PieddepageCar"/>
    <w:uiPriority w:val="99"/>
    <w:unhideWhenUsed/>
    <w:rsid w:val="001C56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647"/>
  </w:style>
  <w:style w:type="character" w:styleId="Marquedecommentaire">
    <w:name w:val="annotation reference"/>
    <w:basedOn w:val="Policepardfaut"/>
    <w:uiPriority w:val="99"/>
    <w:semiHidden/>
    <w:unhideWhenUsed/>
    <w:rsid w:val="00F738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38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38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38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38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F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C56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647"/>
  </w:style>
  <w:style w:type="paragraph" w:styleId="Pieddepage">
    <w:name w:val="footer"/>
    <w:basedOn w:val="Normal"/>
    <w:link w:val="PieddepageCar"/>
    <w:uiPriority w:val="99"/>
    <w:unhideWhenUsed/>
    <w:rsid w:val="001C56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647"/>
  </w:style>
  <w:style w:type="character" w:styleId="Marquedecommentaire">
    <w:name w:val="annotation reference"/>
    <w:basedOn w:val="Policepardfaut"/>
    <w:uiPriority w:val="99"/>
    <w:semiHidden/>
    <w:unhideWhenUsed/>
    <w:rsid w:val="00F738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38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38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38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38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024">
          <w:marLeft w:val="0"/>
          <w:marRight w:val="0"/>
          <w:marTop w:val="0"/>
          <w:marBottom w:val="0"/>
          <w:divBdr>
            <w:top w:val="single" w:sz="48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2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123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862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1790">
                          <w:marLeft w:val="-12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48" w:space="11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megilbert</cp:lastModifiedBy>
  <cp:revision>4</cp:revision>
  <dcterms:created xsi:type="dcterms:W3CDTF">2022-02-10T18:56:00Z</dcterms:created>
  <dcterms:modified xsi:type="dcterms:W3CDTF">2022-02-14T17:36:00Z</dcterms:modified>
</cp:coreProperties>
</file>