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849"/>
        <w:gridCol w:w="2436"/>
        <w:gridCol w:w="3753"/>
      </w:tblGrid>
      <w:tr w:rsidR="00A426B2" w14:paraId="6A83816A" w14:textId="77777777" w:rsidTr="00A426B2">
        <w:trPr>
          <w:trHeight w:val="454"/>
        </w:trPr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4051" w14:textId="285CFFF0" w:rsidR="00A426B2" w:rsidRDefault="000479A8" w:rsidP="005D3320">
            <w:pPr>
              <w:spacing w:after="0"/>
              <w:jc w:val="left"/>
              <w:rPr>
                <w:b/>
                <w:color w:val="00B050"/>
              </w:rPr>
            </w:pP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746598706"/>
                <w:lock w:val="sdtLocked"/>
                <w:placeholder>
                  <w:docPart w:val="099996C47C0E44E4809651AF51A84100"/>
                </w:placeholder>
              </w:sdtPr>
              <w:sdtEndPr/>
              <w:sdtContent>
                <w:r w:rsidR="001E0F19">
                  <w:rPr>
                    <w:b/>
                    <w:color w:val="00B050"/>
                    <w:sz w:val="32"/>
                    <w:szCs w:val="36"/>
                  </w:rPr>
                  <w:t>Quinine</w:t>
                </w:r>
                <w:r w:rsidR="00BB64AF">
                  <w:rPr>
                    <w:b/>
                    <w:color w:val="00B050"/>
                    <w:sz w:val="32"/>
                    <w:szCs w:val="36"/>
                  </w:rPr>
                  <w:t xml:space="preserve"> (Gluconate</w:t>
                </w:r>
                <w:r w:rsidR="00436A7A">
                  <w:rPr>
                    <w:b/>
                    <w:color w:val="00B050"/>
                    <w:sz w:val="32"/>
                    <w:szCs w:val="36"/>
                  </w:rPr>
                  <w:t>)</w:t>
                </w:r>
              </w:sdtContent>
            </w:sdt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4309" w14:textId="77777777"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RPr="001E0F19" w14:paraId="3E073337" w14:textId="77777777" w:rsidTr="00383A70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8B4D8" w14:textId="77777777" w:rsidR="00A426B2" w:rsidRPr="001E0F19" w:rsidRDefault="00A426B2" w:rsidP="00383A70">
            <w:pPr>
              <w:spacing w:before="240"/>
              <w:rPr>
                <w:color w:val="00B050"/>
              </w:rPr>
            </w:pPr>
            <w:r w:rsidRPr="001E0F19">
              <w:rPr>
                <w:b/>
              </w:rPr>
              <w:t>INDICATION</w:t>
            </w:r>
            <w:r w:rsidRPr="001E0F19"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EAD8B" w14:textId="77777777" w:rsidR="0065712B" w:rsidRPr="001E0F19" w:rsidRDefault="0065712B" w:rsidP="00383A70">
            <w:pPr>
              <w:spacing w:after="0"/>
              <w:jc w:val="left"/>
            </w:pPr>
            <w:r w:rsidRPr="001E0F19">
              <w:t xml:space="preserve"> </w:t>
            </w:r>
            <w:r w:rsidR="001E0F19" w:rsidRPr="001E0F19">
              <w:t>Malaria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76A0" w14:textId="77777777" w:rsidR="00A426B2" w:rsidRPr="001E0F19" w:rsidRDefault="00A426B2" w:rsidP="00701F5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7BCC0" w14:textId="77777777" w:rsidR="00A426B2" w:rsidRPr="001E0F19" w:rsidRDefault="00A426B2" w:rsidP="00D17BA2">
            <w:pPr>
              <w:spacing w:after="0"/>
              <w:jc w:val="left"/>
              <w:rPr>
                <w:b/>
                <w:color w:val="00B050"/>
              </w:rPr>
            </w:pPr>
            <w:r w:rsidRPr="001E0F19">
              <w:rPr>
                <w:b/>
              </w:rPr>
              <w:t>Classe thérapeutique</w:t>
            </w:r>
            <w:r w:rsidRPr="001E0F19"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10FC8" w14:textId="77777777" w:rsidR="00A426B2" w:rsidRPr="001E0F19" w:rsidRDefault="005D3320" w:rsidP="00D17BA2">
            <w:pPr>
              <w:spacing w:after="0"/>
              <w:jc w:val="left"/>
            </w:pPr>
            <w:r w:rsidRPr="001E0F19">
              <w:t>Agent antipaludéen</w:t>
            </w:r>
          </w:p>
        </w:tc>
      </w:tr>
    </w:tbl>
    <w:p w14:paraId="35448A5D" w14:textId="77777777" w:rsidR="00383A70" w:rsidRPr="00436A7A" w:rsidRDefault="00383A70">
      <w:pPr>
        <w:rPr>
          <w:sz w:val="2"/>
        </w:rPr>
      </w:pPr>
    </w:p>
    <w:tbl>
      <w:tblPr>
        <w:tblStyle w:val="Grilledutableau"/>
        <w:tblW w:w="13186" w:type="dxa"/>
        <w:tblLook w:val="04A0" w:firstRow="1" w:lastRow="0" w:firstColumn="1" w:lastColumn="0" w:noHBand="0" w:noVBand="1"/>
      </w:tblPr>
      <w:tblGrid>
        <w:gridCol w:w="1500"/>
        <w:gridCol w:w="1180"/>
        <w:gridCol w:w="1634"/>
        <w:gridCol w:w="2344"/>
        <w:gridCol w:w="2105"/>
        <w:gridCol w:w="2827"/>
        <w:gridCol w:w="1596"/>
      </w:tblGrid>
      <w:tr w:rsidR="008F6460" w:rsidRPr="00E9602C" w14:paraId="64DC9AA0" w14:textId="77777777" w:rsidTr="00367753">
        <w:trPr>
          <w:trHeight w:val="234"/>
        </w:trPr>
        <w:tc>
          <w:tcPr>
            <w:tcW w:w="1500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217CF345" w14:textId="77777777" w:rsidR="008F6460" w:rsidRPr="001E0F19" w:rsidRDefault="008F6460" w:rsidP="001E0F19">
            <w:pPr>
              <w:keepNext/>
              <w:spacing w:after="0" w:line="276" w:lineRule="auto"/>
              <w:jc w:val="center"/>
              <w:rPr>
                <w:rFonts w:cstheme="minorHAnsi"/>
                <w:b/>
              </w:rPr>
            </w:pPr>
            <w:r w:rsidRPr="001E0F19">
              <w:rPr>
                <w:rFonts w:cstheme="minorHAnsi"/>
                <w:b/>
              </w:rPr>
              <w:t>FORMATS DISPONIBLES</w:t>
            </w:r>
          </w:p>
        </w:tc>
        <w:tc>
          <w:tcPr>
            <w:tcW w:w="2814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518D5D9B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374CDE59" w14:textId="77777777"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105" w:type="dxa"/>
            <w:shd w:val="clear" w:color="auto" w:fill="B8CCE4" w:themeFill="accent1" w:themeFillTint="66"/>
            <w:vAlign w:val="center"/>
          </w:tcPr>
          <w:p w14:paraId="1AFACA69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827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2233DBF6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596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3A8A4096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1E0F19">
              <w:rPr>
                <w:b/>
              </w:rPr>
              <w:t>S</w:t>
            </w:r>
          </w:p>
        </w:tc>
      </w:tr>
      <w:tr w:rsidR="006E3A9F" w:rsidRPr="00E9602C" w14:paraId="3182F224" w14:textId="77777777" w:rsidTr="00367753">
        <w:trPr>
          <w:trHeight w:val="233"/>
        </w:trPr>
        <w:tc>
          <w:tcPr>
            <w:tcW w:w="150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E24C7AF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18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640D836D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VOLUME ET DILUANT</w:t>
            </w:r>
          </w:p>
        </w:tc>
        <w:tc>
          <w:tcPr>
            <w:tcW w:w="16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7577DA5D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234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120125F6" w14:textId="77777777" w:rsidR="008F6460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  <w:p w14:paraId="511A11BA" w14:textId="77777777" w:rsidR="00301AF9" w:rsidRPr="00301AF9" w:rsidRDefault="00301AF9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2105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7026F1B9" w14:textId="77777777"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827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114284A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59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D5A6FE2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9155C5" w:rsidRPr="00E9602C" w14:paraId="57C52A82" w14:textId="77777777" w:rsidTr="00367753">
        <w:trPr>
          <w:trHeight w:val="437"/>
        </w:trPr>
        <w:tc>
          <w:tcPr>
            <w:tcW w:w="150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07901C09" w14:textId="77777777" w:rsidR="009155C5" w:rsidRPr="000479A8" w:rsidRDefault="009155C5" w:rsidP="001E0F19">
            <w:pPr>
              <w:jc w:val="left"/>
              <w:rPr>
                <w:rFonts w:cstheme="minorHAnsi"/>
                <w:sz w:val="16"/>
                <w:szCs w:val="18"/>
              </w:rPr>
            </w:pPr>
            <w:r w:rsidRPr="000479A8">
              <w:rPr>
                <w:rFonts w:cstheme="minorHAnsi"/>
                <w:sz w:val="16"/>
                <w:szCs w:val="18"/>
              </w:rPr>
              <w:t>Fiole unidose</w:t>
            </w:r>
          </w:p>
          <w:p w14:paraId="3E90274A" w14:textId="34E8934A" w:rsidR="009155C5" w:rsidRPr="00E454B6" w:rsidRDefault="00E26EAA" w:rsidP="001E0F19">
            <w:pPr>
              <w:jc w:val="left"/>
              <w:rPr>
                <w:rFonts w:cstheme="minorHAnsi"/>
                <w:sz w:val="16"/>
                <w:szCs w:val="18"/>
                <w:highlight w:val="yellow"/>
              </w:rPr>
            </w:pPr>
            <w:r w:rsidRPr="000479A8">
              <w:rPr>
                <w:rFonts w:cstheme="minorHAnsi"/>
                <w:color w:val="FF0000"/>
                <w:sz w:val="14"/>
                <w:szCs w:val="18"/>
              </w:rPr>
              <w:t>500</w:t>
            </w:r>
            <w:r w:rsidR="00E454B6" w:rsidRPr="000479A8">
              <w:rPr>
                <w:rFonts w:cstheme="minorHAnsi"/>
                <w:color w:val="FF0000"/>
                <w:sz w:val="14"/>
                <w:szCs w:val="18"/>
              </w:rPr>
              <w:t xml:space="preserve"> </w:t>
            </w:r>
            <w:r w:rsidRPr="000479A8">
              <w:rPr>
                <w:rFonts w:cstheme="minorHAnsi"/>
                <w:color w:val="FF0000"/>
                <w:sz w:val="14"/>
                <w:szCs w:val="18"/>
              </w:rPr>
              <w:t>mg d’alcaloïdes base/4</w:t>
            </w:r>
            <w:r w:rsidR="00436A7A" w:rsidRPr="000479A8">
              <w:rPr>
                <w:rFonts w:cstheme="minorHAnsi"/>
                <w:color w:val="FF0000"/>
                <w:sz w:val="14"/>
                <w:szCs w:val="18"/>
              </w:rPr>
              <w:t xml:space="preserve"> </w:t>
            </w:r>
            <w:proofErr w:type="spellStart"/>
            <w:r w:rsidR="009155C5" w:rsidRPr="000479A8">
              <w:rPr>
                <w:rFonts w:cstheme="minorHAnsi"/>
                <w:color w:val="FF0000"/>
                <w:sz w:val="14"/>
                <w:szCs w:val="18"/>
              </w:rPr>
              <w:t>mL</w:t>
            </w:r>
            <w:proofErr w:type="spellEnd"/>
            <w:r w:rsidR="009155C5" w:rsidRPr="000479A8">
              <w:rPr>
                <w:rFonts w:cstheme="minorHAnsi"/>
                <w:color w:val="FF0000"/>
                <w:sz w:val="14"/>
                <w:szCs w:val="18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3B400731" w14:textId="77777777" w:rsidR="009155C5" w:rsidRPr="000479A8" w:rsidRDefault="009155C5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 xml:space="preserve">Déjà dilué </w:t>
            </w:r>
          </w:p>
        </w:tc>
        <w:tc>
          <w:tcPr>
            <w:tcW w:w="163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7B4D6278" w14:textId="16852787" w:rsidR="009155C5" w:rsidRPr="000479A8" w:rsidRDefault="00E26EAA" w:rsidP="001E0F19">
            <w:pPr>
              <w:keepNext/>
              <w:spacing w:line="276" w:lineRule="auto"/>
              <w:jc w:val="left"/>
              <w:rPr>
                <w:color w:val="FF0000"/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Chaque ampoule de 4 ml contient plusieurs alcaloïdes</w:t>
            </w:r>
            <w:r w:rsidR="00E254D9" w:rsidRPr="000479A8">
              <w:rPr>
                <w:sz w:val="16"/>
                <w:szCs w:val="18"/>
              </w:rPr>
              <w:t xml:space="preserve">, mais </w:t>
            </w:r>
            <w:r w:rsidR="00E254D9" w:rsidRPr="000479A8">
              <w:rPr>
                <w:color w:val="FF0000"/>
                <w:sz w:val="16"/>
                <w:szCs w:val="18"/>
              </w:rPr>
              <w:t xml:space="preserve">les doses sont exprimées en terme d’alcaloïdes base </w:t>
            </w:r>
          </w:p>
          <w:p w14:paraId="62C798B7" w14:textId="77777777" w:rsidR="00E26EAA" w:rsidRPr="000479A8" w:rsidRDefault="00E26EAA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</w:p>
          <w:p w14:paraId="1E3A9FE4" w14:textId="6F47373F" w:rsidR="00E26EAA" w:rsidRPr="000479A8" w:rsidRDefault="00E26EAA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 xml:space="preserve">770.25 de gluconate de quinine </w:t>
            </w:r>
          </w:p>
          <w:p w14:paraId="082675B0" w14:textId="77777777" w:rsidR="00E26EAA" w:rsidRPr="000479A8" w:rsidRDefault="00E26EAA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 xml:space="preserve">21.18 de gluconate de </w:t>
            </w:r>
            <w:proofErr w:type="spellStart"/>
            <w:r w:rsidRPr="000479A8">
              <w:rPr>
                <w:sz w:val="16"/>
                <w:szCs w:val="18"/>
              </w:rPr>
              <w:t>quinidine</w:t>
            </w:r>
            <w:proofErr w:type="spellEnd"/>
            <w:r w:rsidRPr="000479A8">
              <w:rPr>
                <w:sz w:val="16"/>
                <w:szCs w:val="18"/>
              </w:rPr>
              <w:t xml:space="preserve"> </w:t>
            </w:r>
          </w:p>
          <w:p w14:paraId="467D8B6D" w14:textId="3E48E5BD" w:rsidR="00E26EAA" w:rsidRPr="000479A8" w:rsidRDefault="00E454B6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4.24</w:t>
            </w:r>
            <w:r w:rsidR="00E26EAA" w:rsidRPr="000479A8">
              <w:rPr>
                <w:sz w:val="16"/>
                <w:szCs w:val="18"/>
              </w:rPr>
              <w:t xml:space="preserve"> mg de </w:t>
            </w:r>
            <w:proofErr w:type="spellStart"/>
            <w:r w:rsidR="00E26EAA" w:rsidRPr="000479A8">
              <w:rPr>
                <w:sz w:val="16"/>
                <w:szCs w:val="18"/>
              </w:rPr>
              <w:t>chlorydrate</w:t>
            </w:r>
            <w:proofErr w:type="spellEnd"/>
            <w:r w:rsidR="00E26EAA" w:rsidRPr="000479A8">
              <w:rPr>
                <w:sz w:val="16"/>
                <w:szCs w:val="18"/>
              </w:rPr>
              <w:t xml:space="preserve"> de cinchonine</w:t>
            </w:r>
          </w:p>
          <w:p w14:paraId="2260BD51" w14:textId="7EEA41F5" w:rsidR="00E26EAA" w:rsidRPr="000479A8" w:rsidRDefault="00D56096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4.0</w:t>
            </w:r>
            <w:r w:rsidR="00E26EAA" w:rsidRPr="000479A8">
              <w:rPr>
                <w:sz w:val="16"/>
                <w:szCs w:val="18"/>
              </w:rPr>
              <w:t xml:space="preserve">3 </w:t>
            </w:r>
            <w:r w:rsidRPr="000479A8">
              <w:rPr>
                <w:sz w:val="16"/>
                <w:szCs w:val="18"/>
              </w:rPr>
              <w:t xml:space="preserve">mg </w:t>
            </w:r>
            <w:r w:rsidR="00E26EAA" w:rsidRPr="000479A8">
              <w:rPr>
                <w:sz w:val="16"/>
                <w:szCs w:val="18"/>
              </w:rPr>
              <w:t xml:space="preserve">de </w:t>
            </w:r>
            <w:proofErr w:type="spellStart"/>
            <w:r w:rsidR="00E26EAA" w:rsidRPr="000479A8">
              <w:rPr>
                <w:sz w:val="16"/>
                <w:szCs w:val="18"/>
              </w:rPr>
              <w:t>chlorydrate</w:t>
            </w:r>
            <w:proofErr w:type="spellEnd"/>
            <w:r w:rsidR="00E26EAA" w:rsidRPr="000479A8">
              <w:rPr>
                <w:sz w:val="16"/>
                <w:szCs w:val="18"/>
              </w:rPr>
              <w:t xml:space="preserve"> de </w:t>
            </w:r>
            <w:proofErr w:type="spellStart"/>
            <w:r w:rsidR="00E26EAA" w:rsidRPr="000479A8">
              <w:rPr>
                <w:sz w:val="16"/>
                <w:szCs w:val="18"/>
              </w:rPr>
              <w:t>cinchonidine</w:t>
            </w:r>
            <w:proofErr w:type="spellEnd"/>
            <w:r w:rsidR="00E26EAA" w:rsidRPr="000479A8">
              <w:rPr>
                <w:sz w:val="16"/>
                <w:szCs w:val="18"/>
              </w:rPr>
              <w:t xml:space="preserve"> </w:t>
            </w:r>
          </w:p>
        </w:tc>
        <w:tc>
          <w:tcPr>
            <w:tcW w:w="2344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744B9015" w14:textId="1CADC7E7" w:rsidR="009155C5" w:rsidRPr="000479A8" w:rsidRDefault="00E254D9" w:rsidP="001E0F19">
            <w:pPr>
              <w:keepNext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 xml:space="preserve">Dose de charge : 5.8 </w:t>
            </w:r>
            <w:r w:rsidR="009155C5" w:rsidRPr="000479A8">
              <w:rPr>
                <w:sz w:val="16"/>
                <w:szCs w:val="18"/>
              </w:rPr>
              <w:t xml:space="preserve">mg/kg </w:t>
            </w:r>
            <w:r w:rsidRPr="000479A8">
              <w:rPr>
                <w:sz w:val="16"/>
                <w:szCs w:val="18"/>
              </w:rPr>
              <w:t xml:space="preserve">d’alcaloïdes base </w:t>
            </w:r>
          </w:p>
          <w:p w14:paraId="11E376A9" w14:textId="77777777" w:rsidR="006E3A9F" w:rsidRPr="000479A8" w:rsidRDefault="006E3A9F" w:rsidP="006E3A9F">
            <w:pPr>
              <w:autoSpaceDE w:val="0"/>
              <w:autoSpaceDN w:val="0"/>
              <w:adjustRightInd w:val="0"/>
              <w:spacing w:before="0" w:after="0" w:line="200" w:lineRule="exact"/>
              <w:rPr>
                <w:sz w:val="16"/>
                <w:szCs w:val="21"/>
              </w:rPr>
            </w:pPr>
            <w:r w:rsidRPr="000479A8">
              <w:rPr>
                <w:rFonts w:cs="Times-Bold"/>
                <w:b/>
                <w:bCs/>
                <w:sz w:val="16"/>
                <w:szCs w:val="18"/>
              </w:rPr>
              <w:t xml:space="preserve">Ne pas </w:t>
            </w:r>
            <w:r w:rsidRPr="000479A8">
              <w:rPr>
                <w:rFonts w:cs="Times-Roman"/>
                <w:sz w:val="16"/>
                <w:szCs w:val="18"/>
              </w:rPr>
              <w:t xml:space="preserve">donner de dose de charge si le patient a reçu de la quinine ou de la quinidine dans les dernières 24h ou de la </w:t>
            </w:r>
            <w:proofErr w:type="spellStart"/>
            <w:r w:rsidRPr="000479A8">
              <w:rPr>
                <w:rFonts w:cs="Times-Roman"/>
                <w:sz w:val="16"/>
                <w:szCs w:val="18"/>
              </w:rPr>
              <w:t>mefloquine</w:t>
            </w:r>
            <w:proofErr w:type="spellEnd"/>
            <w:r w:rsidRPr="000479A8">
              <w:rPr>
                <w:rFonts w:cs="Times-Roman"/>
                <w:sz w:val="16"/>
                <w:szCs w:val="18"/>
              </w:rPr>
              <w:t xml:space="preserve"> dans les 2 dernières semaines.</w:t>
            </w:r>
            <w:r w:rsidRPr="000479A8">
              <w:rPr>
                <w:sz w:val="16"/>
                <w:szCs w:val="21"/>
              </w:rPr>
              <w:t xml:space="preserve"> </w:t>
            </w:r>
          </w:p>
        </w:tc>
        <w:tc>
          <w:tcPr>
            <w:tcW w:w="210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5E4BDCC7" w14:textId="77777777" w:rsidR="009155C5" w:rsidRPr="006E3A9F" w:rsidRDefault="004E3A80" w:rsidP="003C6705">
            <w:pPr>
              <w:keepNext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Mini sac </w:t>
            </w:r>
            <w:r w:rsidR="003C6705">
              <w:rPr>
                <w:sz w:val="16"/>
                <w:szCs w:val="18"/>
              </w:rPr>
              <w:t>100 mL</w:t>
            </w:r>
            <w:r w:rsidR="009155C5" w:rsidRPr="006E3A9F">
              <w:rPr>
                <w:sz w:val="16"/>
                <w:szCs w:val="18"/>
              </w:rPr>
              <w:t xml:space="preserve"> D5% </w:t>
            </w:r>
          </w:p>
        </w:tc>
        <w:tc>
          <w:tcPr>
            <w:tcW w:w="282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1F619EA7" w14:textId="7AB036C6" w:rsidR="00301AF9" w:rsidRPr="000479A8" w:rsidRDefault="009155C5" w:rsidP="00301AF9">
            <w:pPr>
              <w:keepNext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 xml:space="preserve">Perfuser IV en </w:t>
            </w:r>
            <w:r w:rsidR="000263BE" w:rsidRPr="000479A8">
              <w:rPr>
                <w:sz w:val="16"/>
                <w:szCs w:val="18"/>
              </w:rPr>
              <w:t>30 minutes</w:t>
            </w:r>
          </w:p>
          <w:p w14:paraId="553240FD" w14:textId="37F5B456" w:rsidR="000263BE" w:rsidRPr="000479A8" w:rsidRDefault="00367753" w:rsidP="00301AF9">
            <w:pPr>
              <w:keepNext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Poursuivre immédiatement avec la dose d’entretien</w:t>
            </w:r>
          </w:p>
          <w:p w14:paraId="7F1036C5" w14:textId="52100075" w:rsidR="009155C5" w:rsidRPr="000479A8" w:rsidRDefault="009155C5" w:rsidP="00301AF9">
            <w:pPr>
              <w:keepNext/>
              <w:jc w:val="left"/>
              <w:rPr>
                <w:sz w:val="16"/>
                <w:szCs w:val="18"/>
              </w:rPr>
            </w:pPr>
          </w:p>
        </w:tc>
        <w:tc>
          <w:tcPr>
            <w:tcW w:w="159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2C12160F" w14:textId="6B5E7D87" w:rsidR="009155C5" w:rsidRPr="006E3A9F" w:rsidRDefault="009155C5" w:rsidP="009155C5">
            <w:pPr>
              <w:keepNext/>
              <w:jc w:val="left"/>
              <w:rPr>
                <w:i/>
                <w:color w:val="FF0000"/>
                <w:sz w:val="16"/>
                <w:szCs w:val="18"/>
              </w:rPr>
            </w:pPr>
            <w:r w:rsidRPr="00E454B6">
              <w:rPr>
                <w:i/>
                <w:color w:val="FF0000"/>
                <w:sz w:val="16"/>
                <w:szCs w:val="18"/>
                <w:highlight w:val="yellow"/>
              </w:rPr>
              <w:t xml:space="preserve">Les doses </w:t>
            </w:r>
            <w:r w:rsidR="00E454B6" w:rsidRPr="00E454B6">
              <w:rPr>
                <w:i/>
                <w:color w:val="FF0000"/>
                <w:sz w:val="16"/>
                <w:szCs w:val="18"/>
                <w:highlight w:val="yellow"/>
              </w:rPr>
              <w:t>sont exprimées en mg d’alcaloïdes base</w:t>
            </w:r>
            <w:r w:rsidR="00E454B6">
              <w:rPr>
                <w:i/>
                <w:color w:val="FF0000"/>
                <w:sz w:val="16"/>
                <w:szCs w:val="18"/>
              </w:rPr>
              <w:t xml:space="preserve"> </w:t>
            </w:r>
          </w:p>
          <w:p w14:paraId="09206190" w14:textId="77777777" w:rsidR="0005082E" w:rsidRDefault="0005082E" w:rsidP="001E0F19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18"/>
              </w:rPr>
            </w:pPr>
          </w:p>
          <w:p w14:paraId="3A4B8158" w14:textId="77777777" w:rsidR="0005082E" w:rsidRPr="006E3A9F" w:rsidRDefault="0005082E" w:rsidP="001E0F19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18"/>
              </w:rPr>
            </w:pPr>
            <w:r w:rsidRPr="0005082E">
              <w:rPr>
                <w:sz w:val="16"/>
                <w:szCs w:val="18"/>
              </w:rPr>
              <w:t>Utiliser le poids idéal pour le patient obèse</w:t>
            </w:r>
            <w:r>
              <w:rPr>
                <w:sz w:val="16"/>
                <w:szCs w:val="18"/>
              </w:rPr>
              <w:t>.</w:t>
            </w:r>
          </w:p>
          <w:p w14:paraId="7DADD100" w14:textId="77777777" w:rsidR="009155C5" w:rsidRPr="006E3A9F" w:rsidRDefault="009155C5" w:rsidP="001E0F19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18"/>
              </w:rPr>
            </w:pPr>
          </w:p>
          <w:p w14:paraId="1037EA82" w14:textId="77777777" w:rsidR="006E3A9F" w:rsidRDefault="006E3A9F" w:rsidP="001E0F19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18"/>
              </w:rPr>
            </w:pPr>
          </w:p>
          <w:p w14:paraId="4C2C3A4B" w14:textId="77777777" w:rsidR="009155C5" w:rsidRPr="005F2F9C" w:rsidRDefault="005F2F9C" w:rsidP="0005082E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8"/>
                <w:szCs w:val="18"/>
              </w:rPr>
            </w:pPr>
            <w:r w:rsidRPr="006E3A9F">
              <w:rPr>
                <w:sz w:val="16"/>
                <w:szCs w:val="18"/>
              </w:rPr>
              <w:t xml:space="preserve">Le </w:t>
            </w:r>
            <w:r w:rsidR="009155C5" w:rsidRPr="006E3A9F">
              <w:rPr>
                <w:sz w:val="16"/>
                <w:szCs w:val="18"/>
              </w:rPr>
              <w:t xml:space="preserve">RCP ne suggère </w:t>
            </w:r>
            <w:r w:rsidR="005E60CE">
              <w:rPr>
                <w:sz w:val="16"/>
                <w:szCs w:val="18"/>
              </w:rPr>
              <w:t>pas</w:t>
            </w:r>
            <w:r w:rsidRPr="006E3A9F">
              <w:rPr>
                <w:sz w:val="16"/>
                <w:szCs w:val="18"/>
              </w:rPr>
              <w:t xml:space="preserve"> </w:t>
            </w:r>
            <w:r w:rsidR="009155C5" w:rsidRPr="006E3A9F">
              <w:rPr>
                <w:sz w:val="16"/>
                <w:szCs w:val="18"/>
              </w:rPr>
              <w:t>de dose maximal</w:t>
            </w:r>
            <w:r w:rsidR="0005082E">
              <w:rPr>
                <w:sz w:val="16"/>
                <w:szCs w:val="18"/>
              </w:rPr>
              <w:t>e.</w:t>
            </w:r>
          </w:p>
        </w:tc>
      </w:tr>
      <w:tr w:rsidR="001E0F19" w:rsidRPr="00E9602C" w14:paraId="3B7F1EC3" w14:textId="77777777" w:rsidTr="00367753">
        <w:trPr>
          <w:trHeight w:val="1126"/>
        </w:trPr>
        <w:tc>
          <w:tcPr>
            <w:tcW w:w="1500" w:type="dxa"/>
            <w:vMerge/>
            <w:tcBorders>
              <w:right w:val="single" w:sz="24" w:space="0" w:color="auto"/>
            </w:tcBorders>
            <w:vAlign w:val="center"/>
          </w:tcPr>
          <w:p w14:paraId="41FCA035" w14:textId="595A9EB1" w:rsidR="001E0F19" w:rsidRPr="00E454B6" w:rsidRDefault="001E0F19" w:rsidP="00926822">
            <w:pPr>
              <w:jc w:val="center"/>
              <w:rPr>
                <w:rFonts w:cstheme="minorHAnsi"/>
                <w:sz w:val="16"/>
                <w:szCs w:val="18"/>
                <w:highlight w:val="yellow"/>
              </w:rPr>
            </w:pPr>
          </w:p>
        </w:tc>
        <w:tc>
          <w:tcPr>
            <w:tcW w:w="1180" w:type="dxa"/>
            <w:vMerge/>
            <w:tcBorders>
              <w:left w:val="single" w:sz="24" w:space="0" w:color="auto"/>
            </w:tcBorders>
            <w:vAlign w:val="center"/>
          </w:tcPr>
          <w:p w14:paraId="139AE913" w14:textId="77777777" w:rsidR="001E0F19" w:rsidRPr="006E3A9F" w:rsidRDefault="001E0F19" w:rsidP="0065712B">
            <w:pPr>
              <w:keepNext/>
              <w:jc w:val="left"/>
              <w:rPr>
                <w:sz w:val="16"/>
                <w:szCs w:val="18"/>
              </w:rPr>
            </w:pPr>
          </w:p>
        </w:tc>
        <w:tc>
          <w:tcPr>
            <w:tcW w:w="1634" w:type="dxa"/>
            <w:vMerge/>
            <w:tcBorders>
              <w:right w:val="single" w:sz="24" w:space="0" w:color="auto"/>
            </w:tcBorders>
            <w:vAlign w:val="center"/>
          </w:tcPr>
          <w:p w14:paraId="38EC2CE2" w14:textId="77777777" w:rsidR="001E0F19" w:rsidRPr="006E3A9F" w:rsidRDefault="001E0F19" w:rsidP="0065712B">
            <w:pPr>
              <w:keepNext/>
              <w:jc w:val="left"/>
              <w:rPr>
                <w:sz w:val="16"/>
                <w:szCs w:val="18"/>
              </w:rPr>
            </w:pPr>
          </w:p>
        </w:tc>
        <w:tc>
          <w:tcPr>
            <w:tcW w:w="2344" w:type="dxa"/>
            <w:tcBorders>
              <w:left w:val="single" w:sz="24" w:space="0" w:color="auto"/>
            </w:tcBorders>
          </w:tcPr>
          <w:p w14:paraId="5782AFAB" w14:textId="77777777" w:rsidR="001E0F19" w:rsidRPr="000479A8" w:rsidRDefault="001E0F19" w:rsidP="0005082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Dose d’entretien :</w:t>
            </w:r>
          </w:p>
          <w:p w14:paraId="4B9A1D98" w14:textId="724166C1" w:rsidR="0005082E" w:rsidRPr="000479A8" w:rsidRDefault="00E254D9" w:rsidP="0005082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 xml:space="preserve">8.3 </w:t>
            </w:r>
            <w:r w:rsidR="001E0F19" w:rsidRPr="000479A8">
              <w:rPr>
                <w:sz w:val="16"/>
                <w:szCs w:val="18"/>
              </w:rPr>
              <w:t>mg/kg</w:t>
            </w:r>
            <w:r w:rsidR="00E454B6" w:rsidRPr="000479A8">
              <w:rPr>
                <w:sz w:val="16"/>
                <w:szCs w:val="18"/>
              </w:rPr>
              <w:t xml:space="preserve"> d’alcaloïdes base aux 8 heures</w:t>
            </w:r>
          </w:p>
          <w:p w14:paraId="726E2E53" w14:textId="12994BD2" w:rsidR="0005082E" w:rsidRPr="000479A8" w:rsidRDefault="0005082E" w:rsidP="0005082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(</w:t>
            </w:r>
            <w:r w:rsidR="00E254D9" w:rsidRPr="000479A8">
              <w:rPr>
                <w:sz w:val="16"/>
                <w:szCs w:val="18"/>
              </w:rPr>
              <w:t>R</w:t>
            </w:r>
            <w:r w:rsidR="00AA413A" w:rsidRPr="000479A8">
              <w:rPr>
                <w:sz w:val="16"/>
                <w:szCs w:val="18"/>
              </w:rPr>
              <w:t xml:space="preserve">éduire la fréquence à q12h </w:t>
            </w:r>
            <w:r w:rsidR="00E254D9" w:rsidRPr="000479A8">
              <w:rPr>
                <w:sz w:val="16"/>
                <w:szCs w:val="18"/>
              </w:rPr>
              <w:t xml:space="preserve">si traitement de plus de </w:t>
            </w:r>
            <w:r w:rsidRPr="000479A8">
              <w:rPr>
                <w:sz w:val="16"/>
                <w:szCs w:val="18"/>
              </w:rPr>
              <w:t>48</w:t>
            </w:r>
            <w:r w:rsidR="00E254D9" w:rsidRPr="000479A8">
              <w:rPr>
                <w:sz w:val="16"/>
                <w:szCs w:val="18"/>
              </w:rPr>
              <w:t>h</w:t>
            </w:r>
            <w:r w:rsidRPr="000479A8">
              <w:rPr>
                <w:sz w:val="16"/>
                <w:szCs w:val="18"/>
              </w:rPr>
              <w:t>)</w:t>
            </w:r>
          </w:p>
          <w:p w14:paraId="07F42BC1" w14:textId="4AEE7C91" w:rsidR="001E0F19" w:rsidRPr="000479A8" w:rsidRDefault="001E0F19" w:rsidP="0005082E">
            <w:pPr>
              <w:keepNext/>
              <w:spacing w:before="0" w:after="0"/>
              <w:jc w:val="left"/>
              <w:rPr>
                <w:sz w:val="16"/>
                <w:szCs w:val="18"/>
                <w:u w:val="single"/>
              </w:rPr>
            </w:pPr>
          </w:p>
        </w:tc>
        <w:tc>
          <w:tcPr>
            <w:tcW w:w="2105" w:type="dxa"/>
          </w:tcPr>
          <w:p w14:paraId="3D3F397F" w14:textId="77777777" w:rsidR="001E0F19" w:rsidRPr="000479A8" w:rsidRDefault="001E0F19" w:rsidP="001E0F19">
            <w:pPr>
              <w:keepNext/>
              <w:jc w:val="left"/>
              <w:rPr>
                <w:sz w:val="16"/>
                <w:szCs w:val="18"/>
                <w:u w:val="single"/>
              </w:rPr>
            </w:pPr>
            <w:r w:rsidRPr="000479A8">
              <w:rPr>
                <w:sz w:val="16"/>
                <w:szCs w:val="18"/>
              </w:rPr>
              <w:t>Diluer dans 10 mL/kg de D5%</w:t>
            </w:r>
            <w:r w:rsidR="004E3A80" w:rsidRPr="000479A8">
              <w:rPr>
                <w:sz w:val="16"/>
                <w:szCs w:val="18"/>
              </w:rPr>
              <w:t xml:space="preserve"> (max 500 mL)</w:t>
            </w:r>
          </w:p>
        </w:tc>
        <w:tc>
          <w:tcPr>
            <w:tcW w:w="2827" w:type="dxa"/>
            <w:tcBorders>
              <w:right w:val="single" w:sz="24" w:space="0" w:color="auto"/>
            </w:tcBorders>
          </w:tcPr>
          <w:p w14:paraId="3D8D8152" w14:textId="77777777" w:rsidR="001E0F19" w:rsidRPr="000479A8" w:rsidRDefault="001E0F19" w:rsidP="001E0F19">
            <w:pPr>
              <w:keepNext/>
              <w:jc w:val="left"/>
              <w:rPr>
                <w:sz w:val="16"/>
                <w:szCs w:val="18"/>
                <w:u w:val="single"/>
              </w:rPr>
            </w:pPr>
            <w:r w:rsidRPr="000479A8">
              <w:rPr>
                <w:sz w:val="16"/>
                <w:szCs w:val="18"/>
              </w:rPr>
              <w:t>Perfuser sur 4 heures</w:t>
            </w:r>
            <w:r w:rsidR="005E60CE" w:rsidRPr="000479A8">
              <w:rPr>
                <w:sz w:val="16"/>
                <w:szCs w:val="18"/>
              </w:rPr>
              <w:t xml:space="preserve"> au moyen d’une pompe à perfusion.</w:t>
            </w:r>
          </w:p>
        </w:tc>
        <w:tc>
          <w:tcPr>
            <w:tcW w:w="1596" w:type="dxa"/>
            <w:vMerge/>
            <w:tcBorders>
              <w:left w:val="single" w:sz="24" w:space="0" w:color="auto"/>
            </w:tcBorders>
            <w:vAlign w:val="center"/>
          </w:tcPr>
          <w:p w14:paraId="78A70BDD" w14:textId="77777777" w:rsidR="001E0F19" w:rsidRDefault="001E0F19" w:rsidP="00E45FAF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1"/>
                <w:szCs w:val="21"/>
              </w:rPr>
            </w:pPr>
          </w:p>
        </w:tc>
      </w:tr>
      <w:tr w:rsidR="001E0F19" w:rsidRPr="00E9602C" w14:paraId="2F8C3A80" w14:textId="77777777" w:rsidTr="00367753">
        <w:trPr>
          <w:trHeight w:val="1324"/>
        </w:trPr>
        <w:tc>
          <w:tcPr>
            <w:tcW w:w="1500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14:paraId="16CBF3E3" w14:textId="77777777" w:rsidR="001E0F19" w:rsidRPr="000479A8" w:rsidRDefault="001E0F19" w:rsidP="009155C5">
            <w:pPr>
              <w:keepNext/>
              <w:spacing w:after="0" w:line="276" w:lineRule="auto"/>
              <w:jc w:val="left"/>
              <w:rPr>
                <w:rFonts w:cstheme="minorHAnsi"/>
                <w:sz w:val="16"/>
                <w:szCs w:val="18"/>
              </w:rPr>
            </w:pPr>
            <w:r w:rsidRPr="000479A8">
              <w:rPr>
                <w:rFonts w:cstheme="minorHAnsi"/>
                <w:sz w:val="16"/>
                <w:szCs w:val="18"/>
              </w:rPr>
              <w:t xml:space="preserve">Conservation : </w:t>
            </w:r>
          </w:p>
          <w:p w14:paraId="29580529" w14:textId="77777777" w:rsidR="001E0F19" w:rsidRPr="000479A8" w:rsidRDefault="001E0F19" w:rsidP="009155C5">
            <w:pPr>
              <w:keepNext/>
              <w:spacing w:after="0" w:line="276" w:lineRule="auto"/>
              <w:jc w:val="left"/>
              <w:rPr>
                <w:rFonts w:cstheme="minorHAnsi"/>
                <w:sz w:val="16"/>
                <w:szCs w:val="18"/>
              </w:rPr>
            </w:pPr>
            <w:r w:rsidRPr="000479A8">
              <w:rPr>
                <w:rFonts w:cstheme="minorHAnsi"/>
                <w:sz w:val="16"/>
                <w:szCs w:val="18"/>
              </w:rPr>
              <w:t xml:space="preserve">Température ambiante </w:t>
            </w:r>
          </w:p>
          <w:p w14:paraId="30CACA7D" w14:textId="67DFD71D" w:rsidR="001E0F19" w:rsidRPr="00E454B6" w:rsidRDefault="001E0F19" w:rsidP="009155C5">
            <w:pPr>
              <w:keepNext/>
              <w:spacing w:after="0" w:line="276" w:lineRule="auto"/>
              <w:jc w:val="left"/>
              <w:rPr>
                <w:rFonts w:cstheme="minorHAnsi"/>
                <w:sz w:val="16"/>
                <w:szCs w:val="18"/>
                <w:highlight w:val="yellow"/>
              </w:rPr>
            </w:pPr>
          </w:p>
        </w:tc>
        <w:tc>
          <w:tcPr>
            <w:tcW w:w="1180" w:type="dxa"/>
            <w:vMerge/>
            <w:tcBorders>
              <w:left w:val="single" w:sz="24" w:space="0" w:color="auto"/>
            </w:tcBorders>
            <w:vAlign w:val="center"/>
          </w:tcPr>
          <w:p w14:paraId="6EC6FA05" w14:textId="77777777" w:rsidR="001E0F19" w:rsidRPr="006E3A9F" w:rsidRDefault="001E0F19" w:rsidP="0065712B">
            <w:pPr>
              <w:keepNext/>
              <w:jc w:val="left"/>
              <w:rPr>
                <w:sz w:val="16"/>
              </w:rPr>
            </w:pPr>
          </w:p>
        </w:tc>
        <w:tc>
          <w:tcPr>
            <w:tcW w:w="1634" w:type="dxa"/>
            <w:vMerge/>
            <w:tcBorders>
              <w:right w:val="single" w:sz="24" w:space="0" w:color="auto"/>
            </w:tcBorders>
            <w:vAlign w:val="center"/>
          </w:tcPr>
          <w:p w14:paraId="62727F23" w14:textId="77777777" w:rsidR="001E0F19" w:rsidRPr="006E3A9F" w:rsidRDefault="001E0F19" w:rsidP="0065712B">
            <w:pPr>
              <w:keepNext/>
              <w:jc w:val="left"/>
              <w:rPr>
                <w:sz w:val="16"/>
              </w:rPr>
            </w:pPr>
          </w:p>
        </w:tc>
        <w:tc>
          <w:tcPr>
            <w:tcW w:w="2344" w:type="dxa"/>
            <w:tcBorders>
              <w:left w:val="single" w:sz="24" w:space="0" w:color="auto"/>
            </w:tcBorders>
          </w:tcPr>
          <w:p w14:paraId="0009B664" w14:textId="77777777" w:rsidR="000479A8" w:rsidRPr="000479A8" w:rsidRDefault="00301AF9" w:rsidP="00E454B6">
            <w:pPr>
              <w:keepNext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Si voie</w:t>
            </w:r>
            <w:r w:rsidR="001E0F19" w:rsidRPr="000479A8">
              <w:rPr>
                <w:sz w:val="16"/>
                <w:szCs w:val="18"/>
              </w:rPr>
              <w:t xml:space="preserve"> IV</w:t>
            </w:r>
            <w:r w:rsidRPr="000479A8">
              <w:rPr>
                <w:sz w:val="16"/>
                <w:szCs w:val="18"/>
              </w:rPr>
              <w:t xml:space="preserve"> impossible</w:t>
            </w:r>
            <w:r w:rsidR="001E0F19" w:rsidRPr="000479A8">
              <w:rPr>
                <w:sz w:val="16"/>
                <w:szCs w:val="18"/>
              </w:rPr>
              <w:t xml:space="preserve"> : </w:t>
            </w:r>
          </w:p>
          <w:p w14:paraId="5D843C27" w14:textId="0FA6C950" w:rsidR="001E0F19" w:rsidRPr="000479A8" w:rsidRDefault="001E0F19" w:rsidP="00E454B6">
            <w:pPr>
              <w:keepNext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Même dose par voie IM</w:t>
            </w:r>
            <w:r w:rsidR="00301AF9" w:rsidRPr="000479A8">
              <w:rPr>
                <w:sz w:val="16"/>
                <w:szCs w:val="18"/>
              </w:rPr>
              <w:t xml:space="preserve"> mais risque de nécrose</w:t>
            </w:r>
            <w:r w:rsidR="00367753" w:rsidRPr="000479A8">
              <w:rPr>
                <w:sz w:val="16"/>
                <w:szCs w:val="18"/>
              </w:rPr>
              <w:t xml:space="preserve"> et de formation d’abcès</w:t>
            </w:r>
            <w:r w:rsidR="004E3A80" w:rsidRPr="000479A8">
              <w:rPr>
                <w:sz w:val="16"/>
                <w:szCs w:val="18"/>
              </w:rPr>
              <w:t xml:space="preserve"> </w:t>
            </w:r>
          </w:p>
        </w:tc>
        <w:tc>
          <w:tcPr>
            <w:tcW w:w="2105" w:type="dxa"/>
          </w:tcPr>
          <w:p w14:paraId="35048739" w14:textId="1C9B9530" w:rsidR="006E3A9F" w:rsidRPr="000479A8" w:rsidRDefault="00367753" w:rsidP="00DD57FA">
            <w:pPr>
              <w:keepNext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Diluer la solution (</w:t>
            </w:r>
            <w:r w:rsidR="001E0F19" w:rsidRPr="000479A8">
              <w:rPr>
                <w:sz w:val="16"/>
                <w:szCs w:val="18"/>
              </w:rPr>
              <w:t xml:space="preserve">concentration </w:t>
            </w:r>
            <w:r w:rsidR="00DD57FA" w:rsidRPr="000479A8">
              <w:rPr>
                <w:sz w:val="16"/>
                <w:szCs w:val="18"/>
              </w:rPr>
              <w:t xml:space="preserve">1/2 ou 1/5) </w:t>
            </w:r>
            <w:r w:rsidR="001E0F19" w:rsidRPr="000479A8">
              <w:rPr>
                <w:sz w:val="16"/>
                <w:szCs w:val="18"/>
              </w:rPr>
              <w:t>av</w:t>
            </w:r>
            <w:r w:rsidR="00DD57FA" w:rsidRPr="000479A8">
              <w:rPr>
                <w:sz w:val="16"/>
                <w:szCs w:val="18"/>
              </w:rPr>
              <w:t>ec du NS avant l’administration</w:t>
            </w:r>
          </w:p>
        </w:tc>
        <w:tc>
          <w:tcPr>
            <w:tcW w:w="2827" w:type="dxa"/>
            <w:tcBorders>
              <w:right w:val="single" w:sz="24" w:space="0" w:color="auto"/>
            </w:tcBorders>
          </w:tcPr>
          <w:p w14:paraId="09C4747F" w14:textId="77777777" w:rsidR="001E0F19" w:rsidRPr="000479A8" w:rsidRDefault="001E0F19" w:rsidP="001E0F19">
            <w:pPr>
              <w:keepNext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Voie I</w:t>
            </w:r>
            <w:r w:rsidR="009155C5" w:rsidRPr="000479A8">
              <w:rPr>
                <w:sz w:val="16"/>
                <w:szCs w:val="18"/>
              </w:rPr>
              <w:t>M</w:t>
            </w:r>
          </w:p>
          <w:p w14:paraId="50B5D6FF" w14:textId="77777777" w:rsidR="001E0F19" w:rsidRPr="000479A8" w:rsidRDefault="001E0F19" w:rsidP="001E0F19">
            <w:pPr>
              <w:keepNext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>Injection dans la portion antérieure des cuisses. Ne pas administrer dans les fesses, en raison des dommages possibles au nerf sciatique.</w:t>
            </w:r>
          </w:p>
          <w:p w14:paraId="6B05CA94" w14:textId="068062EC" w:rsidR="004E3A80" w:rsidRPr="000479A8" w:rsidRDefault="00DD57FA" w:rsidP="001E0F19">
            <w:pPr>
              <w:keepNext/>
              <w:jc w:val="left"/>
              <w:rPr>
                <w:sz w:val="16"/>
                <w:szCs w:val="18"/>
              </w:rPr>
            </w:pPr>
            <w:r w:rsidRPr="000479A8">
              <w:rPr>
                <w:sz w:val="16"/>
                <w:szCs w:val="18"/>
              </w:rPr>
              <w:t xml:space="preserve">La dose peut être divisée en 2 injections dans chaque cuisse </w:t>
            </w:r>
          </w:p>
        </w:tc>
        <w:tc>
          <w:tcPr>
            <w:tcW w:w="1596" w:type="dxa"/>
            <w:vMerge/>
            <w:tcBorders>
              <w:left w:val="single" w:sz="24" w:space="0" w:color="auto"/>
            </w:tcBorders>
          </w:tcPr>
          <w:p w14:paraId="583976B7" w14:textId="77777777" w:rsidR="001E0F19" w:rsidRPr="001E0F19" w:rsidRDefault="001E0F19" w:rsidP="001E0F19">
            <w:pPr>
              <w:keepNext/>
              <w:jc w:val="left"/>
              <w:rPr>
                <w:sz w:val="18"/>
                <w:szCs w:val="18"/>
              </w:rPr>
            </w:pPr>
          </w:p>
        </w:tc>
      </w:tr>
    </w:tbl>
    <w:p w14:paraId="31AD092F" w14:textId="77777777" w:rsidR="00945D21" w:rsidRPr="006E3A9F" w:rsidRDefault="00A05B64" w:rsidP="00301AF9">
      <w:pPr>
        <w:spacing w:before="0" w:line="240" w:lineRule="auto"/>
        <w:jc w:val="left"/>
        <w:rPr>
          <w:b/>
          <w:sz w:val="16"/>
        </w:rPr>
      </w:pPr>
      <w:r w:rsidRPr="006E3A9F">
        <w:rPr>
          <w:b/>
          <w:sz w:val="16"/>
        </w:rPr>
        <w:t>Stabilité</w:t>
      </w:r>
      <w:r w:rsidR="00711A64" w:rsidRPr="006E3A9F">
        <w:rPr>
          <w:b/>
          <w:sz w:val="16"/>
        </w:rPr>
        <w:t xml:space="preserve"> pour une préparation à l’unité de soins</w:t>
      </w:r>
      <w:r w:rsidRPr="006E3A9F">
        <w:rPr>
          <w:b/>
          <w:sz w:val="16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6E3A9F" w14:paraId="6193F8DD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56460AE4" w14:textId="77777777" w:rsidR="00306654" w:rsidRPr="006E3A9F" w:rsidRDefault="00306654" w:rsidP="00301AF9">
            <w:pPr>
              <w:spacing w:after="0"/>
              <w:jc w:val="left"/>
              <w:rPr>
                <w:sz w:val="16"/>
              </w:rPr>
            </w:pPr>
            <w:r w:rsidRPr="006E3A9F">
              <w:rPr>
                <w:sz w:val="16"/>
              </w:rPr>
              <w:t>Fiole utilisée :</w:t>
            </w:r>
          </w:p>
        </w:tc>
        <w:sdt>
          <w:sdtPr>
            <w:rPr>
              <w:sz w:val="16"/>
            </w:r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581CBD38" w14:textId="77777777" w:rsidR="00306654" w:rsidRPr="006E3A9F" w:rsidRDefault="005D3320" w:rsidP="00301AF9">
                <w:pPr>
                  <w:spacing w:after="0"/>
                  <w:jc w:val="left"/>
                  <w:rPr>
                    <w:sz w:val="16"/>
                  </w:rPr>
                </w:pPr>
                <w:r w:rsidRPr="006E3A9F">
                  <w:rPr>
                    <w:sz w:val="16"/>
                  </w:rPr>
                  <w:t>Jeter toute portion inutilisée</w:t>
                </w:r>
              </w:p>
            </w:tc>
          </w:sdtContent>
        </w:sdt>
      </w:tr>
      <w:tr w:rsidR="00306654" w:rsidRPr="006E3A9F" w14:paraId="14C46760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04BF293B" w14:textId="77777777" w:rsidR="00306654" w:rsidRPr="006E3A9F" w:rsidRDefault="00306654" w:rsidP="00301AF9">
            <w:pPr>
              <w:spacing w:after="0"/>
              <w:ind w:right="-533"/>
              <w:jc w:val="left"/>
              <w:rPr>
                <w:sz w:val="16"/>
              </w:rPr>
            </w:pPr>
            <w:r w:rsidRPr="006E3A9F">
              <w:rPr>
                <w:sz w:val="16"/>
              </w:rPr>
              <w:t>Seringue</w:t>
            </w:r>
            <w:r w:rsidR="0030659A" w:rsidRPr="006E3A9F">
              <w:rPr>
                <w:sz w:val="16"/>
              </w:rPr>
              <w:t xml:space="preserve"> ou sac</w:t>
            </w:r>
            <w:r w:rsidRPr="006E3A9F">
              <w:rPr>
                <w:sz w:val="16"/>
              </w:rPr>
              <w:t xml:space="preserve"> : </w:t>
            </w:r>
          </w:p>
        </w:tc>
        <w:sdt>
          <w:sdtPr>
            <w:rPr>
              <w:sz w:val="16"/>
            </w:r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349D61F9" w14:textId="77777777" w:rsidR="00306654" w:rsidRPr="006E3A9F" w:rsidRDefault="005D3320" w:rsidP="00301AF9">
                <w:pPr>
                  <w:spacing w:after="0"/>
                  <w:jc w:val="left"/>
                  <w:rPr>
                    <w:sz w:val="16"/>
                  </w:rPr>
                </w:pPr>
                <w:r w:rsidRPr="006E3A9F">
                  <w:rPr>
                    <w:sz w:val="16"/>
                  </w:rPr>
                  <w:t>Diluer la dose juste avant l’administration</w:t>
                </w:r>
              </w:p>
            </w:tc>
          </w:sdtContent>
        </w:sdt>
      </w:tr>
    </w:tbl>
    <w:p w14:paraId="4DBE8027" w14:textId="77777777" w:rsidR="00C65E2C" w:rsidRPr="006E3A9F" w:rsidRDefault="00A05B64" w:rsidP="00301AF9">
      <w:pPr>
        <w:spacing w:before="0" w:line="240" w:lineRule="auto"/>
        <w:jc w:val="left"/>
        <w:rPr>
          <w:rFonts w:cstheme="minorHAnsi"/>
          <w:sz w:val="16"/>
        </w:rPr>
      </w:pPr>
      <w:r w:rsidRPr="006E3A9F">
        <w:rPr>
          <w:rFonts w:cstheme="minorHAnsi"/>
          <w:b/>
          <w:sz w:val="16"/>
        </w:rPr>
        <w:t>Compatibilité avec les solutés :</w:t>
      </w:r>
      <w:r w:rsidRPr="006E3A9F">
        <w:rPr>
          <w:rFonts w:cstheme="minorHAnsi"/>
          <w:sz w:val="16"/>
        </w:rPr>
        <w:t xml:space="preserve"> </w:t>
      </w:r>
      <w:bookmarkStart w:id="0" w:name="_Toc424288453"/>
      <w:sdt>
        <w:sdtPr>
          <w:rPr>
            <w:rFonts w:cstheme="minorHAnsi"/>
            <w:sz w:val="16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5D3320" w:rsidRPr="006E3A9F">
            <w:rPr>
              <w:rFonts w:cstheme="minorHAnsi"/>
              <w:sz w:val="16"/>
            </w:rPr>
            <w:t>D5%, N</w:t>
          </w:r>
          <w:r w:rsidR="00436A7A" w:rsidRPr="006E3A9F">
            <w:rPr>
              <w:rFonts w:cstheme="minorHAnsi"/>
              <w:sz w:val="16"/>
            </w:rPr>
            <w:t>S</w:t>
          </w:r>
        </w:sdtContent>
      </w:sdt>
    </w:p>
    <w:p w14:paraId="20472D70" w14:textId="77777777" w:rsidR="00DE1B28" w:rsidRPr="006E3A9F" w:rsidRDefault="00C278A4" w:rsidP="00301AF9">
      <w:pPr>
        <w:spacing w:before="240" w:after="0"/>
        <w:jc w:val="left"/>
        <w:rPr>
          <w:rFonts w:cstheme="minorHAnsi"/>
          <w:b/>
          <w:sz w:val="16"/>
        </w:rPr>
      </w:pPr>
      <w:r w:rsidRPr="006E3A9F">
        <w:rPr>
          <w:rFonts w:cstheme="minorHAnsi"/>
          <w:b/>
          <w:sz w:val="16"/>
        </w:rPr>
        <w:t>Incompatibilité</w:t>
      </w:r>
      <w:r w:rsidR="00945D21" w:rsidRPr="006E3A9F">
        <w:rPr>
          <w:rFonts w:cstheme="minorHAnsi"/>
          <w:b/>
          <w:sz w:val="16"/>
        </w:rPr>
        <w:t xml:space="preserve"> : </w:t>
      </w:r>
      <w:sdt>
        <w:sdtPr>
          <w:rPr>
            <w:rFonts w:cstheme="minorHAnsi"/>
            <w:b/>
            <w:sz w:val="16"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436A7A" w:rsidRPr="006E3A9F">
            <w:rPr>
              <w:rFonts w:cstheme="minorHAnsi"/>
              <w:sz w:val="16"/>
            </w:rPr>
            <w:t>Se référer au tableau des compatibilités</w:t>
          </w:r>
          <w:r w:rsidR="00436A7A" w:rsidRPr="006E3A9F">
            <w:rPr>
              <w:rFonts w:cstheme="minorHAnsi"/>
              <w:b/>
              <w:sz w:val="16"/>
            </w:rPr>
            <w:t xml:space="preserve"> 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5"/>
        <w:gridCol w:w="4465"/>
        <w:gridCol w:w="673"/>
        <w:gridCol w:w="2590"/>
        <w:gridCol w:w="3707"/>
      </w:tblGrid>
      <w:tr w:rsidR="00A426B2" w14:paraId="1D19A946" w14:textId="77777777" w:rsidTr="00436A7A">
        <w:trPr>
          <w:trHeight w:val="454"/>
        </w:trPr>
        <w:tc>
          <w:tcPr>
            <w:tcW w:w="9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color w:val="00B050"/>
                <w:sz w:val="32"/>
                <w:szCs w:val="36"/>
              </w:rPr>
              <w:alias w:val="Insérer le nom"/>
              <w:tag w:val="Insérer le nom"/>
              <w:id w:val="1074092039"/>
              <w:placeholder>
                <w:docPart w:val="1CCC4BCC99304EFFABB137C6E9D2686D"/>
              </w:placeholder>
            </w:sdtPr>
            <w:sdtEndPr/>
            <w:sdtContent>
              <w:sdt>
                <w:sdtPr>
                  <w:rPr>
                    <w:b/>
                    <w:color w:val="00B050"/>
                    <w:sz w:val="32"/>
                    <w:szCs w:val="36"/>
                  </w:rPr>
                  <w:alias w:val="Insérer le nom"/>
                  <w:tag w:val="Insérer le nom"/>
                  <w:id w:val="-1830902133"/>
                  <w:placeholder>
                    <w:docPart w:val="B436E4427DDF433DA10C386690ADA6C1"/>
                  </w:placeholder>
                </w:sdtPr>
                <w:sdtEndPr/>
                <w:sdtContent>
                  <w:sdt>
                    <w:sdtPr>
                      <w:rPr>
                        <w:b/>
                        <w:color w:val="00B050"/>
                        <w:sz w:val="32"/>
                        <w:szCs w:val="36"/>
                      </w:rPr>
                      <w:alias w:val="Insérer le nom"/>
                      <w:tag w:val="Insérer le nom"/>
                      <w:id w:val="-69501378"/>
                      <w:placeholder>
                        <w:docPart w:val="58F8FF41D33D427584CF0796DDF6E96A"/>
                      </w:placeholder>
                    </w:sdtPr>
                    <w:sdtEndPr/>
                    <w:sdtContent>
                      <w:p w14:paraId="65A6F049" w14:textId="2EFDF5FC" w:rsidR="00A426B2" w:rsidRPr="00926822" w:rsidRDefault="000479A8" w:rsidP="00D17BA2">
                        <w:pPr>
                          <w:spacing w:after="0"/>
                          <w:jc w:val="left"/>
                          <w:rPr>
                            <w:b/>
                            <w:color w:val="00B050"/>
                            <w:sz w:val="32"/>
                            <w:szCs w:val="36"/>
                          </w:rPr>
                        </w:pPr>
                        <w:sdt>
                          <w:sdtPr>
                            <w:rPr>
                              <w:b/>
                              <w:color w:val="00B050"/>
                              <w:sz w:val="32"/>
                              <w:szCs w:val="36"/>
                            </w:rPr>
                            <w:alias w:val="Insérer le nom"/>
                            <w:tag w:val="Insérer le nom"/>
                            <w:id w:val="-1236922412"/>
                            <w:placeholder>
                              <w:docPart w:val="2D429B8FD76947C5B418CFE192FA599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  <w:color w:val="00B050"/>
                                  <w:sz w:val="32"/>
                                  <w:szCs w:val="36"/>
                                </w:rPr>
                                <w:alias w:val="Insérer le nom"/>
                                <w:tag w:val="Insérer le nom"/>
                                <w:id w:val="2053343777"/>
                                <w:placeholder>
                                  <w:docPart w:val="C6BA146160E6464F9623292B6465F7D7"/>
                                </w:placeholder>
                              </w:sdtPr>
                              <w:sdtEndPr/>
                              <w:sdtContent>
                                <w:r w:rsidR="005D3320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 xml:space="preserve">Quinine </w:t>
                                </w:r>
                                <w:r w:rsidR="005D3320" w:rsidRPr="00701F50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(</w:t>
                                </w:r>
                                <w:r w:rsidR="00D56096" w:rsidRPr="00367753">
                                  <w:rPr>
                                    <w:b/>
                                    <w:color w:val="E36C0A" w:themeColor="accent6" w:themeShade="BF"/>
                                    <w:sz w:val="32"/>
                                    <w:szCs w:val="36"/>
                                  </w:rPr>
                                  <w:t>Gluconate</w:t>
                                </w:r>
                              </w:sdtContent>
                            </w:sdt>
                          </w:sdtContent>
                        </w:sdt>
                        <w:r w:rsidR="00E45FAF">
                          <w:rPr>
                            <w:b/>
                            <w:color w:val="00B050"/>
                            <w:sz w:val="32"/>
                            <w:szCs w:val="36"/>
                          </w:rPr>
                          <w:t>)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D0F1D" w14:textId="77777777" w:rsidR="00A426B2" w:rsidRPr="00C278A4" w:rsidRDefault="00A426B2" w:rsidP="00D17BA2">
            <w:pPr>
              <w:spacing w:after="0"/>
              <w:jc w:val="left"/>
              <w:rPr>
                <w:sz w:val="21"/>
                <w:szCs w:val="21"/>
              </w:rPr>
            </w:pPr>
          </w:p>
        </w:tc>
      </w:tr>
      <w:tr w:rsidR="00A426B2" w14:paraId="481586DB" w14:textId="77777777" w:rsidTr="00436A7A">
        <w:trPr>
          <w:trHeight w:val="454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9ED2" w14:textId="77777777" w:rsidR="00A426B2" w:rsidRPr="00701F50" w:rsidRDefault="00A426B2" w:rsidP="00D17BA2">
            <w:pPr>
              <w:spacing w:before="240"/>
              <w:rPr>
                <w:color w:val="00B050"/>
                <w:sz w:val="32"/>
                <w:szCs w:val="36"/>
              </w:rPr>
            </w:pPr>
            <w:r w:rsidRPr="00A426B2">
              <w:rPr>
                <w:b/>
              </w:rPr>
              <w:t>INDICATION</w:t>
            </w:r>
            <w:r>
              <w:t> :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CC790" w14:textId="77777777" w:rsidR="00A426B2" w:rsidRPr="00C278A4" w:rsidRDefault="00436A7A" w:rsidP="00436A7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Malaria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C117" w14:textId="77777777" w:rsidR="00A426B2" w:rsidRPr="00701F50" w:rsidRDefault="00A426B2" w:rsidP="00D17BA2">
            <w:pPr>
              <w:spacing w:after="0"/>
              <w:jc w:val="left"/>
              <w:rPr>
                <w:b/>
                <w:sz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9121" w14:textId="77777777" w:rsidR="00A426B2" w:rsidRPr="00701F50" w:rsidRDefault="00A426B2" w:rsidP="00D17BA2">
            <w:pPr>
              <w:spacing w:after="0"/>
              <w:jc w:val="left"/>
              <w:rPr>
                <w:b/>
                <w:color w:val="00B050"/>
                <w:sz w:val="24"/>
              </w:rPr>
            </w:pPr>
            <w:r w:rsidRPr="00C278A4">
              <w:rPr>
                <w:b/>
                <w:sz w:val="24"/>
                <w:szCs w:val="36"/>
              </w:rPr>
              <w:t>Classe thérapeutique</w:t>
            </w:r>
            <w:r w:rsidRPr="00701F50">
              <w:rPr>
                <w:sz w:val="24"/>
                <w:szCs w:val="36"/>
              </w:rPr>
              <w:t> :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88FE9" w14:textId="77777777" w:rsidR="00A426B2" w:rsidRPr="00C278A4" w:rsidRDefault="0017394C" w:rsidP="00D17BA2">
            <w:p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Antipaludéen </w:t>
            </w:r>
          </w:p>
        </w:tc>
      </w:tr>
    </w:tbl>
    <w:p w14:paraId="7CE355A6" w14:textId="77777777" w:rsidR="00123E9D" w:rsidRPr="006E3A9F" w:rsidRDefault="00123E9D" w:rsidP="007E4696">
      <w:pPr>
        <w:spacing w:before="0" w:after="0"/>
        <w:rPr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6009"/>
      </w:tblGrid>
      <w:tr w:rsidR="0001492A" w:rsidRPr="00E9602C" w14:paraId="36A00074" w14:textId="77777777" w:rsidTr="00CB4D45">
        <w:trPr>
          <w:trHeight w:val="567"/>
        </w:trPr>
        <w:tc>
          <w:tcPr>
            <w:tcW w:w="6941" w:type="dxa"/>
            <w:shd w:val="clear" w:color="auto" w:fill="95B3D7" w:themeFill="accent1" w:themeFillTint="99"/>
            <w:vAlign w:val="center"/>
          </w:tcPr>
          <w:bookmarkEnd w:id="0"/>
          <w:p w14:paraId="3859B632" w14:textId="77777777"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009" w:type="dxa"/>
            <w:shd w:val="clear" w:color="auto" w:fill="95B3D7" w:themeFill="accent1" w:themeFillTint="99"/>
            <w:vAlign w:val="center"/>
          </w:tcPr>
          <w:p w14:paraId="64AF5D6D" w14:textId="77777777"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 xml:space="preserve">EFFETS </w:t>
            </w:r>
            <w:r w:rsidR="00436A7A">
              <w:rPr>
                <w:b/>
              </w:rPr>
              <w:t>INDÉSIRABLES</w:t>
            </w:r>
          </w:p>
        </w:tc>
      </w:tr>
      <w:tr w:rsidR="0001492A" w:rsidRPr="00C278A4" w14:paraId="66E8832E" w14:textId="77777777" w:rsidTr="00CB4D45">
        <w:trPr>
          <w:trHeight w:val="1087"/>
        </w:trPr>
        <w:tc>
          <w:tcPr>
            <w:tcW w:w="6941" w:type="dxa"/>
          </w:tcPr>
          <w:p w14:paraId="333E4486" w14:textId="77777777" w:rsidR="00436A7A" w:rsidRPr="006E3A9F" w:rsidRDefault="00436A7A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b/>
                <w:sz w:val="16"/>
                <w:szCs w:val="20"/>
                <w:u w:val="single"/>
              </w:rPr>
            </w:pPr>
            <w:r w:rsidRPr="006E3A9F">
              <w:rPr>
                <w:rFonts w:cs="Times-Roman"/>
                <w:b/>
                <w:sz w:val="16"/>
                <w:szCs w:val="20"/>
                <w:u w:val="single"/>
              </w:rPr>
              <w:t xml:space="preserve">Monitorage : </w:t>
            </w:r>
          </w:p>
          <w:p w14:paraId="76D78F1C" w14:textId="77777777" w:rsidR="00436A7A" w:rsidRPr="000479A8" w:rsidRDefault="00436A7A" w:rsidP="00436A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Monitoring cardiaque avec surveillance continue du rythme</w:t>
            </w:r>
            <w:r w:rsidR="005F2F9C" w:rsidRPr="000479A8">
              <w:rPr>
                <w:rFonts w:cs="Times-Roman"/>
                <w:sz w:val="16"/>
                <w:szCs w:val="20"/>
              </w:rPr>
              <w:t xml:space="preserve">, </w:t>
            </w:r>
            <w:r w:rsidRPr="000479A8">
              <w:rPr>
                <w:rFonts w:cs="Times-Roman"/>
                <w:sz w:val="16"/>
                <w:szCs w:val="20"/>
              </w:rPr>
              <w:t>de la TA</w:t>
            </w:r>
            <w:r w:rsidR="005F2F9C" w:rsidRPr="000479A8">
              <w:rPr>
                <w:rFonts w:cs="Times-Roman"/>
                <w:sz w:val="16"/>
                <w:szCs w:val="20"/>
              </w:rPr>
              <w:t xml:space="preserve"> et </w:t>
            </w:r>
            <w:r w:rsidRPr="000479A8">
              <w:rPr>
                <w:rFonts w:cs="Times-Roman"/>
                <w:sz w:val="16"/>
                <w:szCs w:val="20"/>
              </w:rPr>
              <w:t>FC.</w:t>
            </w:r>
          </w:p>
          <w:p w14:paraId="469A1B7C" w14:textId="77777777" w:rsidR="00436A7A" w:rsidRDefault="005F2F9C" w:rsidP="00436A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G</w:t>
            </w:r>
            <w:r w:rsidR="00436A7A" w:rsidRPr="000479A8">
              <w:rPr>
                <w:rFonts w:cs="Times-Roman"/>
                <w:sz w:val="16"/>
                <w:szCs w:val="20"/>
              </w:rPr>
              <w:t>lycémie q4h X 24h puis QID</w:t>
            </w:r>
          </w:p>
          <w:p w14:paraId="55CA283D" w14:textId="199C8DCB" w:rsidR="00015BEF" w:rsidRPr="006E3A9F" w:rsidRDefault="00015BEF" w:rsidP="00436A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>
              <w:rPr>
                <w:rFonts w:cs="Times-Roman"/>
                <w:sz w:val="16"/>
                <w:szCs w:val="20"/>
              </w:rPr>
              <w:t>É</w:t>
            </w:r>
            <w:r w:rsidR="000479A8">
              <w:rPr>
                <w:rFonts w:cs="Times-Roman"/>
                <w:sz w:val="16"/>
                <w:szCs w:val="20"/>
              </w:rPr>
              <w:t xml:space="preserve">lectrolytes : </w:t>
            </w:r>
            <w:r>
              <w:rPr>
                <w:rFonts w:cs="Times-Roman"/>
                <w:sz w:val="16"/>
                <w:szCs w:val="20"/>
              </w:rPr>
              <w:t>potassium, magnésium et calcium</w:t>
            </w:r>
          </w:p>
          <w:p w14:paraId="211D36B2" w14:textId="77777777" w:rsidR="00436A7A" w:rsidRPr="006E3A9F" w:rsidRDefault="00436A7A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color w:val="FF0000"/>
                <w:sz w:val="16"/>
                <w:szCs w:val="20"/>
              </w:rPr>
            </w:pPr>
          </w:p>
          <w:p w14:paraId="78C80B8C" w14:textId="77777777" w:rsidR="00436A7A" w:rsidRPr="000479A8" w:rsidRDefault="00436A7A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b/>
                <w:sz w:val="16"/>
                <w:szCs w:val="20"/>
                <w:u w:val="single"/>
              </w:rPr>
            </w:pPr>
            <w:r w:rsidRPr="000479A8">
              <w:rPr>
                <w:rFonts w:cs="Times-Roman"/>
                <w:b/>
                <w:sz w:val="16"/>
                <w:szCs w:val="20"/>
                <w:u w:val="single"/>
              </w:rPr>
              <w:t xml:space="preserve">Précautions : </w:t>
            </w:r>
          </w:p>
          <w:p w14:paraId="2D70059A" w14:textId="77777777" w:rsidR="00CB4D45" w:rsidRPr="000479A8" w:rsidRDefault="00CB4D45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A administrer avec prudence chez les patients avec antécédents de problèmes cardiovasculaires.</w:t>
            </w:r>
          </w:p>
          <w:p w14:paraId="3D93B5A5" w14:textId="77777777" w:rsidR="006E3A9F" w:rsidRPr="000479A8" w:rsidRDefault="006E3A9F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  <w:p w14:paraId="0E093147" w14:textId="7152DBC4" w:rsidR="00015BEF" w:rsidRPr="000479A8" w:rsidRDefault="005D3320" w:rsidP="0005082E">
            <w:pPr>
              <w:autoSpaceDE w:val="0"/>
              <w:autoSpaceDN w:val="0"/>
              <w:adjustRightInd w:val="0"/>
              <w:spacing w:before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La quinine est un inhibiteur du CYP 450 3A4 et 2D6</w:t>
            </w:r>
            <w:r w:rsidR="00CB4D45" w:rsidRPr="000479A8">
              <w:rPr>
                <w:rFonts w:cs="Times-Roman"/>
                <w:sz w:val="16"/>
                <w:szCs w:val="20"/>
              </w:rPr>
              <w:t xml:space="preserve"> et </w:t>
            </w:r>
            <w:r w:rsidR="00015BEF" w:rsidRPr="000479A8">
              <w:rPr>
                <w:rFonts w:cs="Times-Roman"/>
                <w:sz w:val="16"/>
                <w:szCs w:val="20"/>
              </w:rPr>
              <w:t xml:space="preserve">un substrat du CYP 450 3A. </w:t>
            </w:r>
          </w:p>
          <w:p w14:paraId="12C5EEDC" w14:textId="1884FBD7" w:rsidR="00015BEF" w:rsidRPr="000479A8" w:rsidRDefault="00015BEF" w:rsidP="00015BEF">
            <w:pPr>
              <w:autoSpaceDE w:val="0"/>
              <w:autoSpaceDN w:val="0"/>
              <w:adjustRightInd w:val="0"/>
              <w:spacing w:before="0"/>
              <w:ind w:left="284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Fort potentiel d’interaction médicamenteuse</w:t>
            </w:r>
          </w:p>
          <w:p w14:paraId="7A184707" w14:textId="77777777" w:rsidR="00AC2468" w:rsidRPr="000479A8" w:rsidRDefault="005D3320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 xml:space="preserve">Un passage à la </w:t>
            </w:r>
            <w:r w:rsidRPr="000479A8">
              <w:rPr>
                <w:rFonts w:cs="Times-Roman"/>
                <w:sz w:val="16"/>
                <w:szCs w:val="20"/>
                <w:u w:val="single"/>
              </w:rPr>
              <w:t>voie orale</w:t>
            </w:r>
            <w:r w:rsidRPr="000479A8">
              <w:rPr>
                <w:rFonts w:cs="Times-Roman"/>
                <w:sz w:val="16"/>
                <w:szCs w:val="20"/>
              </w:rPr>
              <w:t xml:space="preserve"> est suggéré dès que possible.</w:t>
            </w:r>
          </w:p>
          <w:p w14:paraId="1069C4CB" w14:textId="77777777" w:rsidR="006E3A9F" w:rsidRPr="000479A8" w:rsidRDefault="006E3A9F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  <w:p w14:paraId="44AF4CEE" w14:textId="77777777" w:rsidR="00AC2468" w:rsidRPr="000479A8" w:rsidRDefault="00AC2468" w:rsidP="00AC24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 xml:space="preserve">La WHO précise l’utilisation du </w:t>
            </w:r>
            <w:r w:rsidRPr="000479A8">
              <w:rPr>
                <w:rFonts w:cs="Times-Roman"/>
                <w:sz w:val="16"/>
                <w:szCs w:val="20"/>
                <w:u w:val="single"/>
              </w:rPr>
              <w:t>poids réel</w:t>
            </w:r>
            <w:r w:rsidRPr="000479A8">
              <w:rPr>
                <w:rFonts w:cs="Times-Roman"/>
                <w:sz w:val="16"/>
                <w:szCs w:val="20"/>
              </w:rPr>
              <w:t xml:space="preserve"> pour le calcul de la dose.</w:t>
            </w:r>
          </w:p>
          <w:p w14:paraId="14270E3F" w14:textId="77777777" w:rsidR="005F2F9C" w:rsidRPr="000479A8" w:rsidRDefault="00CB4D45" w:rsidP="00CB4D45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 xml:space="preserve">La </w:t>
            </w:r>
            <w:r w:rsidR="00AC2468" w:rsidRPr="000479A8">
              <w:rPr>
                <w:rFonts w:cs="Times-Roman"/>
                <w:sz w:val="16"/>
                <w:szCs w:val="20"/>
              </w:rPr>
              <w:t>quinine a un Vd de 2.5- 7.1 L/Kg et qu’elle se distribue de façon extensive dans tous les tissus</w:t>
            </w:r>
            <w:r w:rsidRPr="000479A8">
              <w:rPr>
                <w:rFonts w:cs="Times-Roman"/>
                <w:sz w:val="16"/>
                <w:szCs w:val="20"/>
              </w:rPr>
              <w:t>.</w:t>
            </w:r>
          </w:p>
          <w:p w14:paraId="395A3AD0" w14:textId="77777777" w:rsidR="006E3A9F" w:rsidRPr="000479A8" w:rsidRDefault="006E3A9F" w:rsidP="00CB4D45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16"/>
                <w:szCs w:val="20"/>
              </w:rPr>
            </w:pPr>
          </w:p>
          <w:p w14:paraId="0799AB2C" w14:textId="77777777" w:rsidR="00DD57FA" w:rsidRPr="000479A8" w:rsidRDefault="00DD57FA" w:rsidP="00AC24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En insuffisance rénale :</w:t>
            </w:r>
          </w:p>
          <w:p w14:paraId="558F12AE" w14:textId="148376F4" w:rsidR="007B0E86" w:rsidRPr="000479A8" w:rsidRDefault="00DD57FA" w:rsidP="00DD57FA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R</w:t>
            </w:r>
            <w:r w:rsidR="007B0E86" w:rsidRPr="000479A8">
              <w:rPr>
                <w:rFonts w:cs="Times-Roman"/>
                <w:sz w:val="16"/>
                <w:szCs w:val="20"/>
              </w:rPr>
              <w:t xml:space="preserve">éduire la dose </w:t>
            </w:r>
            <w:r w:rsidR="00E454B6" w:rsidRPr="000479A8">
              <w:rPr>
                <w:rFonts w:cs="Times-Roman"/>
                <w:sz w:val="16"/>
                <w:szCs w:val="20"/>
              </w:rPr>
              <w:t xml:space="preserve">de 30 </w:t>
            </w:r>
            <w:r w:rsidRPr="000479A8">
              <w:rPr>
                <w:rFonts w:cs="Times-Roman"/>
                <w:sz w:val="16"/>
                <w:szCs w:val="20"/>
              </w:rPr>
              <w:t xml:space="preserve">% si le traitement parentéral est d’une durée de plus de 48 heures </w:t>
            </w:r>
          </w:p>
          <w:p w14:paraId="6CCC843C" w14:textId="77777777" w:rsidR="007B0E86" w:rsidRPr="000479A8" w:rsidRDefault="007B0E86" w:rsidP="00AC24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Il n’est pas nécessaire d’ajuster la posologie chez les sujets sous hémodialyse ou hémofiltration.</w:t>
            </w:r>
          </w:p>
          <w:p w14:paraId="7CF9E8A1" w14:textId="77777777" w:rsidR="007B0E86" w:rsidRPr="000479A8" w:rsidRDefault="007B0E86" w:rsidP="00AC24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  <w:p w14:paraId="1A5E6BFD" w14:textId="77777777" w:rsidR="005D3320" w:rsidRPr="000479A8" w:rsidRDefault="005D3320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  <w:p w14:paraId="33619A5C" w14:textId="77777777" w:rsidR="005D3320" w:rsidRPr="000479A8" w:rsidRDefault="005D3320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Notre centre désigné pour le réapprovisionnement est l’Hôpital général de Montréal.</w:t>
            </w:r>
          </w:p>
          <w:p w14:paraId="426B7FE8" w14:textId="77777777" w:rsidR="006E3A9F" w:rsidRPr="006E3A9F" w:rsidRDefault="006E3A9F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0479A8">
              <w:rPr>
                <w:rFonts w:cs="Times-Roman"/>
                <w:sz w:val="16"/>
                <w:szCs w:val="20"/>
              </w:rPr>
              <w:t>Il n’est pas nécessaire d’attendre l’approbation du Programme d’accès spécial de Santé Canada avant de débuter le traitement.</w:t>
            </w:r>
          </w:p>
          <w:p w14:paraId="3116C1DF" w14:textId="77777777" w:rsidR="00971D97" w:rsidRPr="006E3A9F" w:rsidRDefault="00971D97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</w:tc>
        <w:tc>
          <w:tcPr>
            <w:tcW w:w="6009" w:type="dxa"/>
          </w:tcPr>
          <w:p w14:paraId="511852A4" w14:textId="77777777" w:rsidR="00CB4D45" w:rsidRPr="000479A8" w:rsidRDefault="00CB4D45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H</w:t>
            </w:r>
            <w:r w:rsidR="005D3320" w:rsidRPr="000479A8">
              <w:rPr>
                <w:sz w:val="16"/>
                <w:szCs w:val="20"/>
              </w:rPr>
              <w:t>ypotension</w:t>
            </w:r>
            <w:r w:rsidR="0017394C" w:rsidRPr="000479A8">
              <w:rPr>
                <w:sz w:val="16"/>
                <w:szCs w:val="20"/>
              </w:rPr>
              <w:t xml:space="preserve"> </w:t>
            </w:r>
          </w:p>
          <w:p w14:paraId="2D27341F" w14:textId="77777777" w:rsidR="00CB4D45" w:rsidRPr="000479A8" w:rsidRDefault="005D3320" w:rsidP="006E3A9F">
            <w:pPr>
              <w:autoSpaceDE w:val="0"/>
              <w:autoSpaceDN w:val="0"/>
              <w:adjustRightInd w:val="0"/>
              <w:spacing w:before="0" w:after="0" w:line="200" w:lineRule="exact"/>
              <w:ind w:left="284"/>
              <w:jc w:val="left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Ne pas administrer en bolus IV rapide</w:t>
            </w:r>
            <w:r w:rsidR="007B0E86" w:rsidRPr="000479A8">
              <w:rPr>
                <w:sz w:val="16"/>
                <w:szCs w:val="20"/>
              </w:rPr>
              <w:t>.</w:t>
            </w:r>
          </w:p>
          <w:p w14:paraId="54075B3B" w14:textId="77777777" w:rsidR="005D3320" w:rsidRPr="000479A8" w:rsidRDefault="00CB4D45" w:rsidP="006E3A9F">
            <w:pPr>
              <w:autoSpaceDE w:val="0"/>
              <w:autoSpaceDN w:val="0"/>
              <w:adjustRightInd w:val="0"/>
              <w:spacing w:before="0" w:after="0" w:line="200" w:lineRule="exact"/>
              <w:ind w:left="284"/>
              <w:jc w:val="left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Une perfusion rapide est associée à plus d’hypotension</w:t>
            </w:r>
            <w:r w:rsidR="007B0E86" w:rsidRPr="000479A8">
              <w:rPr>
                <w:sz w:val="16"/>
                <w:szCs w:val="20"/>
              </w:rPr>
              <w:t>.</w:t>
            </w:r>
            <w:r w:rsidRPr="000479A8">
              <w:rPr>
                <w:sz w:val="16"/>
                <w:szCs w:val="20"/>
              </w:rPr>
              <w:t xml:space="preserve"> </w:t>
            </w:r>
          </w:p>
          <w:p w14:paraId="3943DBB2" w14:textId="77777777" w:rsidR="005D3320" w:rsidRPr="000479A8" w:rsidRDefault="005D3320" w:rsidP="006E3A9F">
            <w:pPr>
              <w:autoSpaceDE w:val="0"/>
              <w:autoSpaceDN w:val="0"/>
              <w:adjustRightInd w:val="0"/>
              <w:spacing w:before="0" w:after="0" w:line="200" w:lineRule="exact"/>
              <w:ind w:left="284"/>
              <w:jc w:val="left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Une perfusion sur 4 heures permet de diminuer les risque</w:t>
            </w:r>
            <w:r w:rsidR="00257F32" w:rsidRPr="000479A8">
              <w:rPr>
                <w:sz w:val="16"/>
                <w:szCs w:val="20"/>
              </w:rPr>
              <w:t>s</w:t>
            </w:r>
            <w:r w:rsidR="007B0E86" w:rsidRPr="000479A8">
              <w:rPr>
                <w:sz w:val="16"/>
                <w:szCs w:val="20"/>
              </w:rPr>
              <w:t>.</w:t>
            </w:r>
          </w:p>
          <w:p w14:paraId="7B501FC4" w14:textId="77777777" w:rsidR="00257F32" w:rsidRPr="000479A8" w:rsidRDefault="005D3320" w:rsidP="005E60CE">
            <w:pPr>
              <w:spacing w:after="0" w:line="200" w:lineRule="exact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Arythmie cardiaque (dysrythmie, asystolie, prolongation QT)</w:t>
            </w:r>
          </w:p>
          <w:p w14:paraId="4BDF95D1" w14:textId="77777777" w:rsidR="005D3320" w:rsidRPr="000479A8" w:rsidRDefault="005D3320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Ralentir le débit de perfusion en présence d</w:t>
            </w:r>
            <w:r w:rsidR="00257F32" w:rsidRPr="000479A8">
              <w:rPr>
                <w:sz w:val="16"/>
                <w:szCs w:val="20"/>
              </w:rPr>
              <w:t>’arythmies</w:t>
            </w:r>
          </w:p>
          <w:p w14:paraId="3074CB89" w14:textId="5F658C74" w:rsidR="00015BEF" w:rsidRPr="000479A8" w:rsidRDefault="00015BEF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Effet dose-dépendant d’allongement de l’intervalle QT</w:t>
            </w:r>
          </w:p>
          <w:p w14:paraId="5B835741" w14:textId="77777777" w:rsidR="005D3320" w:rsidRPr="000479A8" w:rsidRDefault="005D3320" w:rsidP="0005082E">
            <w:pPr>
              <w:spacing w:after="0" w:line="200" w:lineRule="exact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Hypoglycémie par hyperinsulinémie induite par la quinine</w:t>
            </w:r>
          </w:p>
          <w:p w14:paraId="58B73AC5" w14:textId="77777777" w:rsidR="0017394C" w:rsidRPr="000479A8" w:rsidRDefault="005D3320" w:rsidP="0005082E">
            <w:pPr>
              <w:spacing w:after="0" w:line="200" w:lineRule="exact"/>
              <w:ind w:left="284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Privilégier le D</w:t>
            </w:r>
            <w:r w:rsidR="006E3A9F" w:rsidRPr="000479A8">
              <w:rPr>
                <w:sz w:val="16"/>
                <w:szCs w:val="20"/>
              </w:rPr>
              <w:t>5%</w:t>
            </w:r>
            <w:r w:rsidRPr="000479A8">
              <w:rPr>
                <w:sz w:val="16"/>
                <w:szCs w:val="20"/>
              </w:rPr>
              <w:t xml:space="preserve"> comme diluan</w:t>
            </w:r>
            <w:r w:rsidR="006E3A9F" w:rsidRPr="000479A8">
              <w:rPr>
                <w:sz w:val="16"/>
                <w:szCs w:val="20"/>
              </w:rPr>
              <w:t>t</w:t>
            </w:r>
          </w:p>
          <w:p w14:paraId="08566F76" w14:textId="77777777" w:rsidR="005D3320" w:rsidRPr="000479A8" w:rsidRDefault="005D3320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Effet indésirable relié à la dose</w:t>
            </w:r>
          </w:p>
          <w:p w14:paraId="76FEB7D0" w14:textId="77777777" w:rsidR="006E3A9F" w:rsidRPr="000479A8" w:rsidRDefault="005D3320" w:rsidP="0005082E">
            <w:pPr>
              <w:spacing w:after="0" w:line="200" w:lineRule="exact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Hypersensibilité</w:t>
            </w:r>
          </w:p>
          <w:p w14:paraId="24DE9E60" w14:textId="77777777" w:rsidR="005D3320" w:rsidRPr="000479A8" w:rsidRDefault="006E3A9F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U</w:t>
            </w:r>
            <w:r w:rsidR="005D3320" w:rsidRPr="000479A8">
              <w:rPr>
                <w:sz w:val="16"/>
                <w:szCs w:val="20"/>
              </w:rPr>
              <w:t xml:space="preserve">rticaire, prurit, thrombocytopénie, flushing cutané </w:t>
            </w:r>
          </w:p>
          <w:p w14:paraId="0B6E8D70" w14:textId="77777777" w:rsidR="006E3A9F" w:rsidRPr="000479A8" w:rsidRDefault="005D3320" w:rsidP="0005082E">
            <w:pPr>
              <w:spacing w:after="0" w:line="200" w:lineRule="exact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Anémie hémolytique (déficience en G6PD)</w:t>
            </w:r>
          </w:p>
          <w:p w14:paraId="2B34BCE2" w14:textId="77777777" w:rsidR="005D3320" w:rsidRPr="000479A8" w:rsidRDefault="005D3320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>Cesser le traitement immédiatement en présence de signe d’hémolyse.</w:t>
            </w:r>
          </w:p>
          <w:p w14:paraId="213EF09C" w14:textId="77777777" w:rsidR="005D3320" w:rsidRPr="000479A8" w:rsidRDefault="005D3320" w:rsidP="0005082E">
            <w:pPr>
              <w:spacing w:after="0" w:line="200" w:lineRule="exact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 xml:space="preserve">Cinchonisme : </w:t>
            </w:r>
            <w:r w:rsidR="0017394C" w:rsidRPr="000479A8">
              <w:rPr>
                <w:sz w:val="16"/>
                <w:szCs w:val="20"/>
              </w:rPr>
              <w:t>ces effets indésirables sont reliés à la dose et sont signes de toxicité</w:t>
            </w:r>
            <w:r w:rsidR="006E3A9F" w:rsidRPr="000479A8">
              <w:rPr>
                <w:sz w:val="16"/>
                <w:szCs w:val="20"/>
              </w:rPr>
              <w:t> :</w:t>
            </w:r>
          </w:p>
          <w:p w14:paraId="06A16798" w14:textId="77777777" w:rsidR="005D3320" w:rsidRPr="006E3A9F" w:rsidRDefault="0017394C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0479A8">
              <w:rPr>
                <w:sz w:val="16"/>
                <w:szCs w:val="20"/>
              </w:rPr>
              <w:t xml:space="preserve">Tinnitus, </w:t>
            </w:r>
            <w:r w:rsidR="006E3A9F" w:rsidRPr="000479A8">
              <w:rPr>
                <w:sz w:val="16"/>
                <w:szCs w:val="20"/>
              </w:rPr>
              <w:t>d</w:t>
            </w:r>
            <w:r w:rsidRPr="000479A8">
              <w:rPr>
                <w:sz w:val="16"/>
                <w:szCs w:val="20"/>
              </w:rPr>
              <w:t xml:space="preserve">iminution de l’acuité auditive, </w:t>
            </w:r>
            <w:r w:rsidR="006E3A9F" w:rsidRPr="000479A8">
              <w:rPr>
                <w:sz w:val="16"/>
                <w:szCs w:val="20"/>
              </w:rPr>
              <w:t>c</w:t>
            </w:r>
            <w:r w:rsidRPr="000479A8">
              <w:rPr>
                <w:sz w:val="16"/>
                <w:szCs w:val="20"/>
              </w:rPr>
              <w:t>éphalées,</w:t>
            </w:r>
            <w:r w:rsidR="005D3320" w:rsidRPr="000479A8">
              <w:rPr>
                <w:sz w:val="16"/>
                <w:szCs w:val="20"/>
              </w:rPr>
              <w:t xml:space="preserve"> </w:t>
            </w:r>
            <w:r w:rsidR="006E3A9F" w:rsidRPr="000479A8">
              <w:rPr>
                <w:sz w:val="16"/>
                <w:szCs w:val="20"/>
              </w:rPr>
              <w:t>n</w:t>
            </w:r>
            <w:r w:rsidRPr="000479A8">
              <w:rPr>
                <w:sz w:val="16"/>
                <w:szCs w:val="20"/>
              </w:rPr>
              <w:t>aus</w:t>
            </w:r>
            <w:r w:rsidR="005D3320" w:rsidRPr="000479A8">
              <w:rPr>
                <w:sz w:val="16"/>
                <w:szCs w:val="20"/>
              </w:rPr>
              <w:t>ées</w:t>
            </w:r>
            <w:r w:rsidR="006E3A9F" w:rsidRPr="000479A8">
              <w:rPr>
                <w:sz w:val="16"/>
                <w:szCs w:val="20"/>
              </w:rPr>
              <w:t xml:space="preserve">, </w:t>
            </w:r>
            <w:r w:rsidR="005D3320" w:rsidRPr="000479A8">
              <w:rPr>
                <w:sz w:val="16"/>
                <w:szCs w:val="20"/>
              </w:rPr>
              <w:t xml:space="preserve">vomissements, </w:t>
            </w:r>
            <w:r w:rsidR="006E3A9F" w:rsidRPr="000479A8">
              <w:rPr>
                <w:sz w:val="16"/>
                <w:szCs w:val="20"/>
              </w:rPr>
              <w:t>v</w:t>
            </w:r>
            <w:r w:rsidRPr="000479A8">
              <w:rPr>
                <w:sz w:val="16"/>
                <w:szCs w:val="20"/>
              </w:rPr>
              <w:t xml:space="preserve">ertiges, troubles de la vision, </w:t>
            </w:r>
            <w:r w:rsidR="006E3A9F" w:rsidRPr="000479A8">
              <w:rPr>
                <w:sz w:val="16"/>
                <w:szCs w:val="20"/>
              </w:rPr>
              <w:t>d</w:t>
            </w:r>
            <w:r w:rsidRPr="000479A8">
              <w:rPr>
                <w:sz w:val="16"/>
                <w:szCs w:val="20"/>
              </w:rPr>
              <w:t>ouleur abdominale</w:t>
            </w:r>
            <w:r w:rsidR="005D3320" w:rsidRPr="000479A8">
              <w:rPr>
                <w:sz w:val="16"/>
                <w:szCs w:val="20"/>
              </w:rPr>
              <w:t>, diarrhé</w:t>
            </w:r>
            <w:r w:rsidR="006E3A9F" w:rsidRPr="000479A8">
              <w:rPr>
                <w:sz w:val="16"/>
                <w:szCs w:val="20"/>
              </w:rPr>
              <w:t>es</w:t>
            </w:r>
          </w:p>
          <w:p w14:paraId="790FDA4D" w14:textId="77777777" w:rsidR="006E3A9F" w:rsidRPr="006E3A9F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Hépatite</w:t>
            </w:r>
          </w:p>
          <w:p w14:paraId="7036C2FE" w14:textId="77777777" w:rsidR="005D3320" w:rsidRPr="006E3A9F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Insuffisance rénale</w:t>
            </w:r>
          </w:p>
          <w:p w14:paraId="7FE37066" w14:textId="77777777" w:rsidR="005D3320" w:rsidRPr="006E3A9F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Trouble du SNC</w:t>
            </w:r>
          </w:p>
          <w:p w14:paraId="535BE912" w14:textId="77777777" w:rsidR="005D3320" w:rsidRPr="006E3A9F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Dyspnée, angioedème, exacerbation de l’asthme</w:t>
            </w:r>
          </w:p>
          <w:p w14:paraId="112D26F1" w14:textId="77777777" w:rsidR="001E0F19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Risque d’exacerbation de la myasthénie grave</w:t>
            </w:r>
          </w:p>
          <w:p w14:paraId="080946A9" w14:textId="67A991B2" w:rsidR="00015BEF" w:rsidRPr="006E3A9F" w:rsidRDefault="00015BEF" w:rsidP="006E3A9F">
            <w:pPr>
              <w:spacing w:line="200" w:lineRule="exact"/>
              <w:rPr>
                <w:sz w:val="16"/>
                <w:szCs w:val="20"/>
              </w:rPr>
            </w:pPr>
            <w:bookmarkStart w:id="1" w:name="_GoBack"/>
            <w:bookmarkEnd w:id="1"/>
            <w:r w:rsidRPr="000479A8">
              <w:rPr>
                <w:sz w:val="16"/>
                <w:szCs w:val="20"/>
              </w:rPr>
              <w:t>Photosensibilité</w:t>
            </w:r>
            <w:r>
              <w:rPr>
                <w:sz w:val="16"/>
                <w:szCs w:val="20"/>
              </w:rPr>
              <w:t xml:space="preserve"> </w:t>
            </w:r>
          </w:p>
        </w:tc>
      </w:tr>
    </w:tbl>
    <w:p w14:paraId="00FD67FD" w14:textId="77777777" w:rsidR="00D1037D" w:rsidRDefault="00D1037D" w:rsidP="009854CA">
      <w:pPr>
        <w:spacing w:before="120"/>
        <w:rPr>
          <w:rFonts w:cstheme="minorHAnsi"/>
        </w:rPr>
      </w:pPr>
    </w:p>
    <w:p w14:paraId="148AF415" w14:textId="77777777" w:rsidR="00D1037D" w:rsidRDefault="00D1037D" w:rsidP="009854CA">
      <w:pPr>
        <w:spacing w:before="120"/>
        <w:rPr>
          <w:rFonts w:cstheme="minorHAnsi"/>
        </w:rPr>
      </w:pPr>
    </w:p>
    <w:sectPr w:rsidR="00D1037D" w:rsidSect="006D1CD5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14868" w14:textId="77777777" w:rsidR="009854CA" w:rsidRDefault="009854CA" w:rsidP="008F3D94">
      <w:pPr>
        <w:spacing w:after="0" w:line="240" w:lineRule="auto"/>
      </w:pPr>
      <w:r>
        <w:separator/>
      </w:r>
    </w:p>
  </w:endnote>
  <w:endnote w:type="continuationSeparator" w:id="0">
    <w:p w14:paraId="6D63A268" w14:textId="77777777" w:rsidR="009854CA" w:rsidRDefault="009854CA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E29B0" w14:textId="1836417C" w:rsidR="006D1CD5" w:rsidRPr="006D1CD5" w:rsidRDefault="006D1CD5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BB64AF">
      <w:rPr>
        <w:b/>
        <w:noProof/>
      </w:rPr>
      <w:t>2025-04-15 13:43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0479A8" w:rsidRPr="000479A8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0479A8" w:rsidRPr="000479A8">
      <w:rPr>
        <w:b/>
        <w:noProof/>
        <w:lang w:val="fr-FR"/>
      </w:rPr>
      <w:t>3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52174" w14:textId="77777777" w:rsidR="009854CA" w:rsidRDefault="009854CA" w:rsidP="008F3D94">
      <w:pPr>
        <w:spacing w:after="0" w:line="240" w:lineRule="auto"/>
      </w:pPr>
      <w:r>
        <w:separator/>
      </w:r>
    </w:p>
  </w:footnote>
  <w:footnote w:type="continuationSeparator" w:id="0">
    <w:p w14:paraId="74113814" w14:textId="77777777" w:rsidR="009854CA" w:rsidRDefault="009854CA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22CBD" w14:textId="77777777" w:rsidR="00B32D32" w:rsidRDefault="000479A8">
    <w:pPr>
      <w:pStyle w:val="En-tte"/>
    </w:pPr>
    <w:r>
      <w:rPr>
        <w:noProof/>
        <w:lang w:eastAsia="fr-CA"/>
      </w:rPr>
      <w:pict w14:anchorId="6CFB1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14341" type="#_x0000_t75" style="position:absolute;left:0;text-align:left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5070" w:type="dxa"/>
      <w:tblLook w:val="04A0" w:firstRow="1" w:lastRow="0" w:firstColumn="1" w:lastColumn="0" w:noHBand="0" w:noVBand="1"/>
    </w:tblPr>
    <w:tblGrid>
      <w:gridCol w:w="7880"/>
    </w:tblGrid>
    <w:tr w:rsidR="00A426B2" w:rsidRPr="00A426B2" w14:paraId="4752ABC3" w14:textId="77777777" w:rsidTr="004E3A80">
      <w:tc>
        <w:tcPr>
          <w:tcW w:w="7880" w:type="dxa"/>
        </w:tcPr>
        <w:p w14:paraId="6886B02C" w14:textId="77777777" w:rsidR="00CB4D45" w:rsidRDefault="00A426B2" w:rsidP="00CB4D45">
          <w:pPr>
            <w:tabs>
              <w:tab w:val="left" w:pos="11258"/>
            </w:tabs>
            <w:jc w:val="left"/>
            <w:rPr>
              <w:rFonts w:ascii="Times-Roman" w:hAnsi="Times-Roman" w:cs="Times-Roman"/>
              <w:sz w:val="17"/>
              <w:szCs w:val="17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41B30C40" wp14:editId="0CE9C261">
                <wp:simplePos x="0" y="0"/>
                <wp:positionH relativeFrom="column">
                  <wp:posOffset>-255905</wp:posOffset>
                </wp:positionH>
                <wp:positionV relativeFrom="paragraph">
                  <wp:posOffset>-131734</wp:posOffset>
                </wp:positionV>
                <wp:extent cx="351149" cy="351183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149" cy="35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  <w:r w:rsidR="001E0F19">
            <w:rPr>
              <w:rFonts w:ascii="Times-Roman" w:hAnsi="Times-Roman" w:cs="Times-Roman"/>
              <w:sz w:val="17"/>
              <w:szCs w:val="17"/>
            </w:rPr>
            <w:t xml:space="preserve"> </w:t>
          </w:r>
        </w:p>
        <w:p w14:paraId="12217336" w14:textId="77777777" w:rsidR="001E0F19" w:rsidRPr="00387FAE" w:rsidRDefault="00CB4D45" w:rsidP="00CB4D45">
          <w:pPr>
            <w:tabs>
              <w:tab w:val="left" w:pos="11258"/>
            </w:tabs>
            <w:jc w:val="left"/>
            <w:rPr>
              <w:rFonts w:cstheme="minorHAnsi"/>
              <w:smallCaps/>
              <w:sz w:val="16"/>
              <w:szCs w:val="16"/>
            </w:rPr>
          </w:pPr>
          <w:r>
            <w:rPr>
              <w:rFonts w:ascii="Times-Roman" w:hAnsi="Times-Roman" w:cs="Times-Roman"/>
              <w:sz w:val="17"/>
              <w:szCs w:val="17"/>
            </w:rPr>
            <w:t xml:space="preserve">    </w:t>
          </w:r>
          <w:r w:rsidR="001E0F19" w:rsidRPr="00387FAE">
            <w:rPr>
              <w:rFonts w:cstheme="minorHAnsi"/>
              <w:smallCaps/>
              <w:sz w:val="16"/>
              <w:szCs w:val="16"/>
            </w:rPr>
            <w:t>Moni</w:t>
          </w:r>
          <w:r w:rsidR="00436A7A" w:rsidRPr="00387FAE">
            <w:rPr>
              <w:rFonts w:cstheme="minorHAnsi"/>
              <w:smallCaps/>
              <w:sz w:val="16"/>
              <w:szCs w:val="16"/>
            </w:rPr>
            <w:t>torage</w:t>
          </w:r>
          <w:r w:rsidRPr="00387FAE">
            <w:rPr>
              <w:rFonts w:cstheme="minorHAnsi"/>
              <w:smallCaps/>
              <w:sz w:val="16"/>
              <w:szCs w:val="16"/>
            </w:rPr>
            <w:t xml:space="preserve"> </w:t>
          </w:r>
          <w:r w:rsidR="001E0F19" w:rsidRPr="00387FAE">
            <w:rPr>
              <w:rFonts w:cstheme="minorHAnsi"/>
              <w:smallCaps/>
              <w:sz w:val="16"/>
              <w:szCs w:val="16"/>
            </w:rPr>
            <w:t>cardiaque</w:t>
          </w:r>
        </w:p>
        <w:p w14:paraId="284D8F53" w14:textId="77777777" w:rsidR="00A426B2" w:rsidRPr="00387FAE" w:rsidRDefault="001E0F19" w:rsidP="00CB4D45">
          <w:pPr>
            <w:tabs>
              <w:tab w:val="left" w:pos="11258"/>
            </w:tabs>
            <w:ind w:left="170"/>
            <w:jc w:val="left"/>
            <w:rPr>
              <w:rFonts w:cstheme="minorHAnsi"/>
              <w:smallCaps/>
              <w:sz w:val="16"/>
              <w:szCs w:val="16"/>
            </w:rPr>
          </w:pPr>
          <w:r w:rsidRPr="00387FAE">
            <w:rPr>
              <w:rFonts w:cstheme="minorHAnsi"/>
              <w:smallCaps/>
              <w:sz w:val="16"/>
              <w:szCs w:val="16"/>
            </w:rPr>
            <w:t>Infectiologues : S’assurer de remplir les formulaires A et B du réseau canadien sur le paludisme</w:t>
          </w:r>
        </w:p>
        <w:p w14:paraId="4280192D" w14:textId="77777777" w:rsidR="00CB4D45" w:rsidRPr="00CB4D45" w:rsidRDefault="00CB4D45" w:rsidP="00CB4D45">
          <w:pPr>
            <w:autoSpaceDE w:val="0"/>
            <w:autoSpaceDN w:val="0"/>
            <w:adjustRightInd w:val="0"/>
            <w:spacing w:before="0" w:after="0"/>
            <w:ind w:left="170"/>
            <w:jc w:val="left"/>
            <w:rPr>
              <w:rFonts w:cstheme="minorHAnsi"/>
              <w:sz w:val="16"/>
              <w:szCs w:val="16"/>
            </w:rPr>
          </w:pPr>
          <w:r w:rsidRPr="00387FAE">
            <w:rPr>
              <w:rFonts w:cstheme="minorHAnsi"/>
              <w:smallCaps/>
              <w:sz w:val="16"/>
              <w:szCs w:val="16"/>
            </w:rPr>
            <w:t>Médicament fourni par le réseau canadien sur le paludisme</w:t>
          </w:r>
          <w:r w:rsidR="003C6705" w:rsidRPr="00387FAE">
            <w:rPr>
              <w:rFonts w:cstheme="minorHAnsi"/>
              <w:smallCaps/>
              <w:sz w:val="16"/>
              <w:szCs w:val="16"/>
            </w:rPr>
            <w:t xml:space="preserve"> (RCP)</w:t>
          </w:r>
          <w:r w:rsidRPr="00387FAE">
            <w:rPr>
              <w:rFonts w:cstheme="minorHAnsi"/>
              <w:smallCaps/>
              <w:sz w:val="16"/>
              <w:szCs w:val="16"/>
            </w:rPr>
            <w:t xml:space="preserve"> du programme d’accès spécial de Santé Canada</w:t>
          </w:r>
          <w:r w:rsidRPr="00CB4D45">
            <w:rPr>
              <w:rFonts w:cstheme="minorHAnsi"/>
              <w:sz w:val="16"/>
              <w:szCs w:val="16"/>
            </w:rPr>
            <w:t>.</w:t>
          </w:r>
        </w:p>
      </w:tc>
    </w:tr>
  </w:tbl>
  <w:p w14:paraId="49943E91" w14:textId="77777777" w:rsidR="00525D5F" w:rsidRPr="00884618" w:rsidRDefault="00CB4D45" w:rsidP="006D1CD5">
    <w:pPr>
      <w:spacing w:before="0" w:after="0"/>
    </w:pPr>
    <w:r>
      <w:rPr>
        <w:noProof/>
        <w:lang w:eastAsia="fr-CA"/>
      </w:rPr>
      <w:drawing>
        <wp:anchor distT="0" distB="0" distL="114300" distR="114300" simplePos="0" relativeHeight="251658752" behindDoc="1" locked="0" layoutInCell="1" allowOverlap="1" wp14:anchorId="4F749E85" wp14:editId="47F224A4">
          <wp:simplePos x="0" y="0"/>
          <wp:positionH relativeFrom="column">
            <wp:posOffset>-266700</wp:posOffset>
          </wp:positionH>
          <wp:positionV relativeFrom="paragraph">
            <wp:posOffset>-819785</wp:posOffset>
          </wp:positionV>
          <wp:extent cx="1619250" cy="5334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6A7A">
      <w:rPr>
        <w:i/>
        <w:noProof/>
        <w:sz w:val="32"/>
        <w:szCs w:val="32"/>
        <w:lang w:eastAsia="fr-CA"/>
      </w:rPr>
      <w:drawing>
        <wp:anchor distT="0" distB="0" distL="114300" distR="114300" simplePos="0" relativeHeight="251670528" behindDoc="0" locked="1" layoutInCell="1" allowOverlap="1" wp14:anchorId="2F1FFBCE" wp14:editId="790BD46A">
          <wp:simplePos x="0" y="0"/>
          <wp:positionH relativeFrom="column">
            <wp:posOffset>7858125</wp:posOffset>
          </wp:positionH>
          <wp:positionV relativeFrom="paragraph">
            <wp:posOffset>-447675</wp:posOffset>
          </wp:positionV>
          <wp:extent cx="753110" cy="739775"/>
          <wp:effectExtent l="57150" t="95250" r="294640" b="2889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397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E9339" w14:textId="77777777" w:rsidR="00B32D32" w:rsidRDefault="000479A8">
    <w:pPr>
      <w:pStyle w:val="En-tte"/>
    </w:pPr>
    <w:r>
      <w:rPr>
        <w:noProof/>
        <w:lang w:eastAsia="fr-CA"/>
      </w:rPr>
      <w:pict w14:anchorId="6702A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14340" type="#_x0000_t75" style="position:absolute;left:0;text-align:left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32C1E"/>
    <w:multiLevelType w:val="hybridMultilevel"/>
    <w:tmpl w:val="A7760668"/>
    <w:lvl w:ilvl="0" w:tplc="28FA7EE8">
      <w:start w:val="300"/>
      <w:numFmt w:val="bullet"/>
      <w:pStyle w:val="Paragraphedelist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250611"/>
    <w:multiLevelType w:val="hybridMultilevel"/>
    <w:tmpl w:val="27822A90"/>
    <w:lvl w:ilvl="0" w:tplc="47202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28157512"/>
    <w:multiLevelType w:val="hybridMultilevel"/>
    <w:tmpl w:val="2786A44E"/>
    <w:lvl w:ilvl="0" w:tplc="5D0CF31C">
      <w:start w:val="10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>
    <w:nsid w:val="40C92458"/>
    <w:multiLevelType w:val="hybridMultilevel"/>
    <w:tmpl w:val="F25C5D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5B26817"/>
    <w:multiLevelType w:val="hybridMultilevel"/>
    <w:tmpl w:val="20F6C57E"/>
    <w:lvl w:ilvl="0" w:tplc="2632AC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B846D01"/>
    <w:multiLevelType w:val="hybridMultilevel"/>
    <w:tmpl w:val="269A6DE6"/>
    <w:lvl w:ilvl="0" w:tplc="9998CE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65F6B3E"/>
    <w:multiLevelType w:val="hybridMultilevel"/>
    <w:tmpl w:val="75548F8A"/>
    <w:lvl w:ilvl="0" w:tplc="1ECCE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773A2FF2"/>
    <w:multiLevelType w:val="hybridMultilevel"/>
    <w:tmpl w:val="4AF285B2"/>
    <w:lvl w:ilvl="0" w:tplc="2632A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45"/>
  </w:num>
  <w:num w:numId="3">
    <w:abstractNumId w:val="83"/>
  </w:num>
  <w:num w:numId="4">
    <w:abstractNumId w:val="74"/>
  </w:num>
  <w:num w:numId="5">
    <w:abstractNumId w:val="23"/>
  </w:num>
  <w:num w:numId="6">
    <w:abstractNumId w:val="69"/>
  </w:num>
  <w:num w:numId="7">
    <w:abstractNumId w:val="62"/>
  </w:num>
  <w:num w:numId="8">
    <w:abstractNumId w:val="86"/>
  </w:num>
  <w:num w:numId="9">
    <w:abstractNumId w:val="77"/>
  </w:num>
  <w:num w:numId="10">
    <w:abstractNumId w:val="25"/>
  </w:num>
  <w:num w:numId="11">
    <w:abstractNumId w:val="3"/>
  </w:num>
  <w:num w:numId="12">
    <w:abstractNumId w:val="36"/>
  </w:num>
  <w:num w:numId="13">
    <w:abstractNumId w:val="75"/>
  </w:num>
  <w:num w:numId="14">
    <w:abstractNumId w:val="58"/>
  </w:num>
  <w:num w:numId="15">
    <w:abstractNumId w:val="49"/>
  </w:num>
  <w:num w:numId="16">
    <w:abstractNumId w:val="11"/>
  </w:num>
  <w:num w:numId="17">
    <w:abstractNumId w:val="71"/>
  </w:num>
  <w:num w:numId="18">
    <w:abstractNumId w:val="47"/>
  </w:num>
  <w:num w:numId="19">
    <w:abstractNumId w:val="19"/>
  </w:num>
  <w:num w:numId="20">
    <w:abstractNumId w:val="34"/>
  </w:num>
  <w:num w:numId="21">
    <w:abstractNumId w:val="17"/>
  </w:num>
  <w:num w:numId="22">
    <w:abstractNumId w:val="27"/>
  </w:num>
  <w:num w:numId="23">
    <w:abstractNumId w:val="44"/>
  </w:num>
  <w:num w:numId="24">
    <w:abstractNumId w:val="52"/>
  </w:num>
  <w:num w:numId="25">
    <w:abstractNumId w:val="31"/>
  </w:num>
  <w:num w:numId="26">
    <w:abstractNumId w:val="79"/>
  </w:num>
  <w:num w:numId="27">
    <w:abstractNumId w:val="43"/>
  </w:num>
  <w:num w:numId="28">
    <w:abstractNumId w:val="32"/>
  </w:num>
  <w:num w:numId="29">
    <w:abstractNumId w:val="14"/>
  </w:num>
  <w:num w:numId="30">
    <w:abstractNumId w:val="50"/>
  </w:num>
  <w:num w:numId="31">
    <w:abstractNumId w:val="70"/>
  </w:num>
  <w:num w:numId="32">
    <w:abstractNumId w:val="33"/>
  </w:num>
  <w:num w:numId="33">
    <w:abstractNumId w:val="57"/>
  </w:num>
  <w:num w:numId="34">
    <w:abstractNumId w:val="2"/>
  </w:num>
  <w:num w:numId="35">
    <w:abstractNumId w:val="30"/>
  </w:num>
  <w:num w:numId="36">
    <w:abstractNumId w:val="73"/>
  </w:num>
  <w:num w:numId="37">
    <w:abstractNumId w:val="84"/>
  </w:num>
  <w:num w:numId="38">
    <w:abstractNumId w:val="76"/>
  </w:num>
  <w:num w:numId="39">
    <w:abstractNumId w:val="0"/>
  </w:num>
  <w:num w:numId="40">
    <w:abstractNumId w:val="35"/>
  </w:num>
  <w:num w:numId="41">
    <w:abstractNumId w:val="38"/>
  </w:num>
  <w:num w:numId="42">
    <w:abstractNumId w:val="26"/>
  </w:num>
  <w:num w:numId="43">
    <w:abstractNumId w:val="42"/>
  </w:num>
  <w:num w:numId="44">
    <w:abstractNumId w:val="51"/>
  </w:num>
  <w:num w:numId="45">
    <w:abstractNumId w:val="65"/>
  </w:num>
  <w:num w:numId="46">
    <w:abstractNumId w:val="91"/>
  </w:num>
  <w:num w:numId="47">
    <w:abstractNumId w:val="88"/>
  </w:num>
  <w:num w:numId="48">
    <w:abstractNumId w:val="40"/>
  </w:num>
  <w:num w:numId="49">
    <w:abstractNumId w:val="80"/>
  </w:num>
  <w:num w:numId="50">
    <w:abstractNumId w:val="18"/>
  </w:num>
  <w:num w:numId="51">
    <w:abstractNumId w:val="16"/>
  </w:num>
  <w:num w:numId="52">
    <w:abstractNumId w:val="48"/>
  </w:num>
  <w:num w:numId="53">
    <w:abstractNumId w:val="53"/>
  </w:num>
  <w:num w:numId="54">
    <w:abstractNumId w:val="81"/>
  </w:num>
  <w:num w:numId="55">
    <w:abstractNumId w:val="56"/>
  </w:num>
  <w:num w:numId="56">
    <w:abstractNumId w:val="8"/>
  </w:num>
  <w:num w:numId="57">
    <w:abstractNumId w:val="92"/>
  </w:num>
  <w:num w:numId="58">
    <w:abstractNumId w:val="24"/>
  </w:num>
  <w:num w:numId="59">
    <w:abstractNumId w:val="41"/>
  </w:num>
  <w:num w:numId="60">
    <w:abstractNumId w:val="68"/>
  </w:num>
  <w:num w:numId="61">
    <w:abstractNumId w:val="66"/>
  </w:num>
  <w:num w:numId="62">
    <w:abstractNumId w:val="37"/>
  </w:num>
  <w:num w:numId="63">
    <w:abstractNumId w:val="59"/>
  </w:num>
  <w:num w:numId="64">
    <w:abstractNumId w:val="78"/>
  </w:num>
  <w:num w:numId="65">
    <w:abstractNumId w:val="5"/>
  </w:num>
  <w:num w:numId="66">
    <w:abstractNumId w:val="96"/>
  </w:num>
  <w:num w:numId="67">
    <w:abstractNumId w:val="60"/>
  </w:num>
  <w:num w:numId="68">
    <w:abstractNumId w:val="10"/>
  </w:num>
  <w:num w:numId="69">
    <w:abstractNumId w:val="64"/>
  </w:num>
  <w:num w:numId="70">
    <w:abstractNumId w:val="22"/>
  </w:num>
  <w:num w:numId="71">
    <w:abstractNumId w:val="39"/>
  </w:num>
  <w:num w:numId="72">
    <w:abstractNumId w:val="72"/>
  </w:num>
  <w:num w:numId="73">
    <w:abstractNumId w:val="90"/>
  </w:num>
  <w:num w:numId="74">
    <w:abstractNumId w:val="9"/>
  </w:num>
  <w:num w:numId="75">
    <w:abstractNumId w:val="20"/>
  </w:num>
  <w:num w:numId="76">
    <w:abstractNumId w:val="13"/>
  </w:num>
  <w:num w:numId="77">
    <w:abstractNumId w:val="85"/>
  </w:num>
  <w:num w:numId="78">
    <w:abstractNumId w:val="28"/>
  </w:num>
  <w:num w:numId="79">
    <w:abstractNumId w:val="82"/>
  </w:num>
  <w:num w:numId="80">
    <w:abstractNumId w:val="55"/>
  </w:num>
  <w:num w:numId="81">
    <w:abstractNumId w:val="54"/>
  </w:num>
  <w:num w:numId="82">
    <w:abstractNumId w:val="89"/>
  </w:num>
  <w:num w:numId="83">
    <w:abstractNumId w:val="4"/>
  </w:num>
  <w:num w:numId="84">
    <w:abstractNumId w:val="61"/>
  </w:num>
  <w:num w:numId="85">
    <w:abstractNumId w:val="15"/>
  </w:num>
  <w:num w:numId="86">
    <w:abstractNumId w:val="6"/>
  </w:num>
  <w:num w:numId="87">
    <w:abstractNumId w:val="21"/>
  </w:num>
  <w:num w:numId="88">
    <w:abstractNumId w:val="94"/>
  </w:num>
  <w:num w:numId="89">
    <w:abstractNumId w:val="7"/>
  </w:num>
  <w:num w:numId="90">
    <w:abstractNumId w:val="67"/>
  </w:num>
  <w:num w:numId="91">
    <w:abstractNumId w:val="87"/>
  </w:num>
  <w:num w:numId="92">
    <w:abstractNumId w:val="12"/>
  </w:num>
  <w:num w:numId="93">
    <w:abstractNumId w:val="46"/>
  </w:num>
  <w:num w:numId="94">
    <w:abstractNumId w:val="95"/>
  </w:num>
  <w:num w:numId="95">
    <w:abstractNumId w:val="93"/>
  </w:num>
  <w:num w:numId="96">
    <w:abstractNumId w:val="1"/>
  </w:num>
  <w:num w:numId="97">
    <w:abstractNumId w:val="2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2765"/>
    <w:rsid w:val="0001492A"/>
    <w:rsid w:val="00015BEF"/>
    <w:rsid w:val="000263BE"/>
    <w:rsid w:val="00027FE3"/>
    <w:rsid w:val="000323DE"/>
    <w:rsid w:val="0003383A"/>
    <w:rsid w:val="00035D0E"/>
    <w:rsid w:val="0004325D"/>
    <w:rsid w:val="00047020"/>
    <w:rsid w:val="00047224"/>
    <w:rsid w:val="000479A8"/>
    <w:rsid w:val="0005082E"/>
    <w:rsid w:val="00053543"/>
    <w:rsid w:val="0005456C"/>
    <w:rsid w:val="00061EC9"/>
    <w:rsid w:val="00073B88"/>
    <w:rsid w:val="0007617C"/>
    <w:rsid w:val="00076E49"/>
    <w:rsid w:val="00093D3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394C"/>
    <w:rsid w:val="00174E60"/>
    <w:rsid w:val="00175E0D"/>
    <w:rsid w:val="0017601A"/>
    <w:rsid w:val="001765F2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C21C9"/>
    <w:rsid w:val="001D1ED8"/>
    <w:rsid w:val="001E08C7"/>
    <w:rsid w:val="001E0F19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57F32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F08D1"/>
    <w:rsid w:val="003005B2"/>
    <w:rsid w:val="00300F27"/>
    <w:rsid w:val="00301AF9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65F0A"/>
    <w:rsid w:val="00367753"/>
    <w:rsid w:val="00373ABD"/>
    <w:rsid w:val="0037668F"/>
    <w:rsid w:val="00382021"/>
    <w:rsid w:val="00383383"/>
    <w:rsid w:val="00383A70"/>
    <w:rsid w:val="00384B84"/>
    <w:rsid w:val="00387FAE"/>
    <w:rsid w:val="00392319"/>
    <w:rsid w:val="0039309E"/>
    <w:rsid w:val="00393E86"/>
    <w:rsid w:val="00397834"/>
    <w:rsid w:val="003A1580"/>
    <w:rsid w:val="003B08D5"/>
    <w:rsid w:val="003B6330"/>
    <w:rsid w:val="003C5531"/>
    <w:rsid w:val="003C6705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2CCB"/>
    <w:rsid w:val="00413A88"/>
    <w:rsid w:val="00415F05"/>
    <w:rsid w:val="00417FB2"/>
    <w:rsid w:val="00424B92"/>
    <w:rsid w:val="004316DC"/>
    <w:rsid w:val="00433BC1"/>
    <w:rsid w:val="00434A3F"/>
    <w:rsid w:val="004368D4"/>
    <w:rsid w:val="00436A7A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3A80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3320"/>
    <w:rsid w:val="005D4E23"/>
    <w:rsid w:val="005D6F94"/>
    <w:rsid w:val="005E154E"/>
    <w:rsid w:val="005E47A3"/>
    <w:rsid w:val="005E60CE"/>
    <w:rsid w:val="005F2F9C"/>
    <w:rsid w:val="005F50E6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879D8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3A9F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32D7"/>
    <w:rsid w:val="007171A8"/>
    <w:rsid w:val="00725FA2"/>
    <w:rsid w:val="0073400D"/>
    <w:rsid w:val="00734225"/>
    <w:rsid w:val="007615B3"/>
    <w:rsid w:val="00762418"/>
    <w:rsid w:val="007638CC"/>
    <w:rsid w:val="0076469D"/>
    <w:rsid w:val="00773538"/>
    <w:rsid w:val="0077448E"/>
    <w:rsid w:val="007811EE"/>
    <w:rsid w:val="00781A92"/>
    <w:rsid w:val="00783A31"/>
    <w:rsid w:val="007903F8"/>
    <w:rsid w:val="007960E8"/>
    <w:rsid w:val="007B0E86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55C5"/>
    <w:rsid w:val="009178B2"/>
    <w:rsid w:val="00917A85"/>
    <w:rsid w:val="00923CA1"/>
    <w:rsid w:val="009240FE"/>
    <w:rsid w:val="00925607"/>
    <w:rsid w:val="00926822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71D97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85DDF"/>
    <w:rsid w:val="00A933C0"/>
    <w:rsid w:val="00A94C2B"/>
    <w:rsid w:val="00AA032C"/>
    <w:rsid w:val="00AA31E2"/>
    <w:rsid w:val="00AA413A"/>
    <w:rsid w:val="00AA7E02"/>
    <w:rsid w:val="00AA7E0A"/>
    <w:rsid w:val="00AB1BCA"/>
    <w:rsid w:val="00AB20B5"/>
    <w:rsid w:val="00AB6293"/>
    <w:rsid w:val="00AC2468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67A09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64AF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7A77"/>
    <w:rsid w:val="00C14505"/>
    <w:rsid w:val="00C22C21"/>
    <w:rsid w:val="00C278A4"/>
    <w:rsid w:val="00C41C06"/>
    <w:rsid w:val="00C45350"/>
    <w:rsid w:val="00C45F39"/>
    <w:rsid w:val="00C471EA"/>
    <w:rsid w:val="00C65E2C"/>
    <w:rsid w:val="00C74387"/>
    <w:rsid w:val="00C759A6"/>
    <w:rsid w:val="00C80DB0"/>
    <w:rsid w:val="00C913AD"/>
    <w:rsid w:val="00C966BC"/>
    <w:rsid w:val="00CA496C"/>
    <w:rsid w:val="00CB0C71"/>
    <w:rsid w:val="00CB1B2A"/>
    <w:rsid w:val="00CB2FF9"/>
    <w:rsid w:val="00CB3C18"/>
    <w:rsid w:val="00CB4D45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34E6"/>
    <w:rsid w:val="00D36465"/>
    <w:rsid w:val="00D41AF0"/>
    <w:rsid w:val="00D43344"/>
    <w:rsid w:val="00D56096"/>
    <w:rsid w:val="00D61337"/>
    <w:rsid w:val="00D71459"/>
    <w:rsid w:val="00D71AFE"/>
    <w:rsid w:val="00D73F1D"/>
    <w:rsid w:val="00D75516"/>
    <w:rsid w:val="00D774D8"/>
    <w:rsid w:val="00D81760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D57F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254D9"/>
    <w:rsid w:val="00E26EAA"/>
    <w:rsid w:val="00E32825"/>
    <w:rsid w:val="00E3383B"/>
    <w:rsid w:val="00E33850"/>
    <w:rsid w:val="00E37690"/>
    <w:rsid w:val="00E435ED"/>
    <w:rsid w:val="00E454B6"/>
    <w:rsid w:val="00E45F69"/>
    <w:rsid w:val="00E45FAF"/>
    <w:rsid w:val="00E50496"/>
    <w:rsid w:val="00E52CFF"/>
    <w:rsid w:val="00E54B2E"/>
    <w:rsid w:val="00E55B13"/>
    <w:rsid w:val="00E63910"/>
    <w:rsid w:val="00E64835"/>
    <w:rsid w:val="00E655C0"/>
    <w:rsid w:val="00E724ED"/>
    <w:rsid w:val="00E75177"/>
    <w:rsid w:val="00E77CD9"/>
    <w:rsid w:val="00E84C40"/>
    <w:rsid w:val="00E87A96"/>
    <w:rsid w:val="00E87D93"/>
    <w:rsid w:val="00E87E86"/>
    <w:rsid w:val="00E9145A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5844"/>
    <w:rsid w:val="00F069AE"/>
    <w:rsid w:val="00F07DA8"/>
    <w:rsid w:val="00F23703"/>
    <w:rsid w:val="00F27E04"/>
    <w:rsid w:val="00F33293"/>
    <w:rsid w:val="00F3705B"/>
    <w:rsid w:val="00F40A1E"/>
    <w:rsid w:val="00F4409A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  <w14:docId w14:val="496FE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5D3320"/>
    <w:pPr>
      <w:keepNext/>
      <w:numPr>
        <w:numId w:val="96"/>
      </w:numPr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5D3320"/>
    <w:pPr>
      <w:keepNext/>
      <w:numPr>
        <w:numId w:val="96"/>
      </w:numPr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36E4427DDF433DA10C386690A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32629-393A-4376-8553-DF4F4EE59A54}"/>
      </w:docPartPr>
      <w:docPartBody>
        <w:p w:rsidR="00B85AC0" w:rsidRDefault="007C6505" w:rsidP="007C6505">
          <w:pPr>
            <w:pStyle w:val="B436E4427DDF433DA10C386690ADA6C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8FF41D33D427584CF0796DDF6E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82C5-65F7-4037-B79F-EAC782B7B0EA}"/>
      </w:docPartPr>
      <w:docPartBody>
        <w:p w:rsidR="00500B17" w:rsidRDefault="00B85AC0" w:rsidP="00B85AC0">
          <w:pPr>
            <w:pStyle w:val="58F8FF41D33D427584CF0796DDF6E96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429B8FD76947C5B418CFE192FA5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4533B-ADB3-4E16-9792-5868CE0AF786}"/>
      </w:docPartPr>
      <w:docPartBody>
        <w:p w:rsidR="003B3798" w:rsidRDefault="00C14281" w:rsidP="00C14281">
          <w:pPr>
            <w:pStyle w:val="2D429B8FD76947C5B418CFE192FA5994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6BA146160E6464F9623292B6465F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61BDE-974E-4547-AD7E-D1E47CD18B91}"/>
      </w:docPartPr>
      <w:docPartBody>
        <w:p w:rsidR="00032C66" w:rsidRDefault="00C825A1" w:rsidP="00C825A1">
          <w:pPr>
            <w:pStyle w:val="C6BA146160E6464F9623292B6465F7D7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032C66"/>
    <w:rsid w:val="0014270C"/>
    <w:rsid w:val="003B3798"/>
    <w:rsid w:val="00500B17"/>
    <w:rsid w:val="006672BB"/>
    <w:rsid w:val="007C6505"/>
    <w:rsid w:val="00865B93"/>
    <w:rsid w:val="009934D4"/>
    <w:rsid w:val="00B85AC0"/>
    <w:rsid w:val="00BC2A18"/>
    <w:rsid w:val="00C14281"/>
    <w:rsid w:val="00C8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25A1"/>
    <w:rPr>
      <w:color w:val="808080"/>
    </w:rPr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2D429B8FD76947C5B418CFE192FA5994">
    <w:name w:val="2D429B8FD76947C5B418CFE192FA5994"/>
    <w:rsid w:val="00C14281"/>
  </w:style>
  <w:style w:type="paragraph" w:customStyle="1" w:styleId="C6BA146160E6464F9623292B6465F7D7">
    <w:name w:val="C6BA146160E6464F9623292B6465F7D7"/>
    <w:rsid w:val="00C825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25A1"/>
    <w:rPr>
      <w:color w:val="808080"/>
    </w:rPr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2D429B8FD76947C5B418CFE192FA5994">
    <w:name w:val="2D429B8FD76947C5B418CFE192FA5994"/>
    <w:rsid w:val="00C14281"/>
  </w:style>
  <w:style w:type="paragraph" w:customStyle="1" w:styleId="C6BA146160E6464F9623292B6465F7D7">
    <w:name w:val="C6BA146160E6464F9623292B6465F7D7"/>
    <w:rsid w:val="00C82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1D5E-731B-4CB0-BC2B-1E30AAC5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Gilbert</cp:lastModifiedBy>
  <cp:revision>2</cp:revision>
  <cp:lastPrinted>2019-03-06T19:59:00Z</cp:lastPrinted>
  <dcterms:created xsi:type="dcterms:W3CDTF">2025-04-15T19:14:00Z</dcterms:created>
  <dcterms:modified xsi:type="dcterms:W3CDTF">2025-04-15T19:14:00Z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