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7B706" w14:textId="77777777" w:rsidR="00383A70" w:rsidRPr="00E31524" w:rsidRDefault="00F54789" w:rsidP="00860722">
      <w:pPr>
        <w:spacing w:before="0" w:after="0"/>
        <w:jc w:val="left"/>
        <w:rPr>
          <w:color w:val="FF0000"/>
        </w:rPr>
      </w:pPr>
      <w:r w:rsidRPr="00E31524">
        <w:rPr>
          <w:color w:val="FF0000"/>
        </w:rPr>
        <w:t>VOIR FICHE DISTINCTE POUR L’UTILISATION DU MAGNÉSIUM EN OBSTÉTRIQUE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2552"/>
        <w:gridCol w:w="2409"/>
        <w:gridCol w:w="2268"/>
        <w:gridCol w:w="1728"/>
      </w:tblGrid>
      <w:tr w:rsidR="008F6460" w:rsidRPr="00E9602C" w14:paraId="11BD0138" w14:textId="77777777" w:rsidTr="00863B6A">
        <w:trPr>
          <w:trHeight w:val="234"/>
        </w:trPr>
        <w:tc>
          <w:tcPr>
            <w:tcW w:w="1526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7B1557A3" w14:textId="77777777"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2693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7CD00F28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552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54E276FA" w14:textId="77777777"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0EFB41FF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581F79B3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728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4A8CAC5B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14:paraId="7A2300A1" w14:textId="77777777" w:rsidTr="00863B6A">
        <w:trPr>
          <w:trHeight w:val="233"/>
        </w:trPr>
        <w:tc>
          <w:tcPr>
            <w:tcW w:w="1526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AE472E0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4917B153" w14:textId="77777777"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41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2CFA8E9A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3014">
              <w:rPr>
                <w:rFonts w:ascii="Calibri Light" w:hAnsi="Calibri Light"/>
                <w:sz w:val="18"/>
              </w:rPr>
              <w:t>CONCENTRATION FINALE</w:t>
            </w:r>
          </w:p>
        </w:tc>
        <w:tc>
          <w:tcPr>
            <w:tcW w:w="2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233D6E6F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409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06C24C8E" w14:textId="77777777"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2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FF87D9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72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40B8CBC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E657BE" w:rsidRPr="00E9602C" w14:paraId="76259A91" w14:textId="77777777" w:rsidTr="00863B6A">
        <w:trPr>
          <w:trHeight w:val="1123"/>
        </w:trPr>
        <w:tc>
          <w:tcPr>
            <w:tcW w:w="152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BDC15E7" w14:textId="791F92B5" w:rsidR="00E657BE" w:rsidRPr="00E31524" w:rsidRDefault="00E657BE" w:rsidP="00DC41FC">
            <w:pPr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Fioles unidoses</w:t>
            </w:r>
          </w:p>
          <w:p w14:paraId="35410AAC" w14:textId="77777777" w:rsidR="00E657BE" w:rsidRPr="00E31524" w:rsidRDefault="00E657BE" w:rsidP="00DC41FC">
            <w:pPr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2 g/10 mL (20%)</w:t>
            </w:r>
          </w:p>
          <w:p w14:paraId="44B55C8E" w14:textId="77777777" w:rsidR="00E657BE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5 g/10 mL (50%)</w:t>
            </w:r>
          </w:p>
          <w:p w14:paraId="7CAC8029" w14:textId="77777777" w:rsidR="00084623" w:rsidRDefault="00084623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  <w:p w14:paraId="43FDCADC" w14:textId="40693CE5" w:rsidR="00084623" w:rsidRDefault="00084623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</w:t>
            </w:r>
            <w:r w:rsidR="00863B6A">
              <w:rPr>
                <w:sz w:val="16"/>
                <w:szCs w:val="18"/>
              </w:rPr>
              <w:t xml:space="preserve">ac prêt à l’emploi </w:t>
            </w:r>
            <w:r>
              <w:rPr>
                <w:sz w:val="16"/>
                <w:szCs w:val="18"/>
              </w:rPr>
              <w:t>2g/50 mL</w:t>
            </w:r>
          </w:p>
          <w:p w14:paraId="1B433477" w14:textId="00BD972A" w:rsidR="00084623" w:rsidRPr="00E31524" w:rsidRDefault="00084623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C4073BF" w14:textId="77777777" w:rsidR="00E657BE" w:rsidRPr="00E31524" w:rsidRDefault="00E657BE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Déjà dilué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4FA56145" w14:textId="77777777" w:rsidR="00E657BE" w:rsidRPr="00E31524" w:rsidRDefault="00E657BE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</w:p>
          <w:p w14:paraId="169169B6" w14:textId="77777777" w:rsidR="00E657BE" w:rsidRPr="00E31524" w:rsidRDefault="00E657BE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200 mg/mL</w:t>
            </w:r>
          </w:p>
          <w:p w14:paraId="03484F85" w14:textId="77777777" w:rsidR="00E657BE" w:rsidRDefault="00E657BE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500 mg/mL</w:t>
            </w:r>
          </w:p>
          <w:p w14:paraId="081F4D87" w14:textId="77777777" w:rsidR="00084623" w:rsidRDefault="00084623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</w:p>
          <w:p w14:paraId="33EDEDF7" w14:textId="77777777" w:rsidR="00084623" w:rsidRDefault="00084623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</w:p>
          <w:p w14:paraId="63913632" w14:textId="23E13439" w:rsidR="00084623" w:rsidRPr="00E31524" w:rsidRDefault="00084623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 mg/mL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</w:tcBorders>
          </w:tcPr>
          <w:p w14:paraId="54D8F627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Arythmies (1-2 g)</w:t>
            </w:r>
          </w:p>
          <w:p w14:paraId="226815C7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   Situation de code  </w:t>
            </w:r>
          </w:p>
          <w:p w14:paraId="0E184472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   Bolus</w:t>
            </w:r>
          </w:p>
          <w:p w14:paraId="54067206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   Perfusion continue</w:t>
            </w:r>
            <w:r w:rsidR="00A36B2C" w:rsidRPr="00E31524">
              <w:rPr>
                <w:sz w:val="16"/>
                <w:szCs w:val="18"/>
              </w:rPr>
              <w:t xml:space="preserve"> </w:t>
            </w:r>
          </w:p>
          <w:p w14:paraId="16513B41" w14:textId="3DB44468" w:rsidR="00A36B2C" w:rsidRPr="00E31524" w:rsidRDefault="00863B6A" w:rsidP="00F46613">
            <w:pPr>
              <w:pStyle w:val="Sansinterligne"/>
              <w:spacing w:before="0" w:after="0"/>
              <w:ind w:left="284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 g  (</w:t>
            </w:r>
            <w:r w:rsidR="00A36B2C" w:rsidRPr="00E31524">
              <w:rPr>
                <w:sz w:val="16"/>
                <w:szCs w:val="18"/>
              </w:rPr>
              <w:t>40 mL</w:t>
            </w:r>
            <w:r>
              <w:rPr>
                <w:sz w:val="16"/>
                <w:szCs w:val="18"/>
              </w:rPr>
              <w:t xml:space="preserve"> </w:t>
            </w:r>
            <w:r w:rsidR="00A36B2C" w:rsidRPr="00E31524">
              <w:rPr>
                <w:sz w:val="16"/>
                <w:szCs w:val="18"/>
              </w:rPr>
              <w:t>de MgSO</w:t>
            </w:r>
            <w:r w:rsidR="00F46613" w:rsidRPr="00E31524">
              <w:rPr>
                <w:sz w:val="16"/>
                <w:szCs w:val="18"/>
                <w:vertAlign w:val="subscript"/>
              </w:rPr>
              <w:t xml:space="preserve">4 </w:t>
            </w:r>
            <w:r w:rsidR="00A36B2C" w:rsidRPr="00E31524">
              <w:rPr>
                <w:sz w:val="16"/>
                <w:szCs w:val="18"/>
              </w:rPr>
              <w:t>50%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14:paraId="455AF5BE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  <w:p w14:paraId="4D925EA7" w14:textId="7F03EC5A" w:rsidR="00E657BE" w:rsidRPr="00E31524" w:rsidRDefault="00FF231A" w:rsidP="00FB1F12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Seringue ad</w:t>
            </w:r>
            <w:r w:rsidR="002B2583" w:rsidRPr="00E31524">
              <w:rPr>
                <w:sz w:val="16"/>
                <w:szCs w:val="18"/>
              </w:rPr>
              <w:t xml:space="preserve"> 10</w:t>
            </w:r>
            <w:r w:rsidR="00E657BE" w:rsidRPr="00E31524">
              <w:rPr>
                <w:sz w:val="16"/>
                <w:szCs w:val="18"/>
              </w:rPr>
              <w:t xml:space="preserve"> mL de NS</w:t>
            </w:r>
            <w:r w:rsidR="002B2583" w:rsidRPr="00E31524">
              <w:rPr>
                <w:sz w:val="16"/>
                <w:szCs w:val="18"/>
              </w:rPr>
              <w:t xml:space="preserve"> </w:t>
            </w:r>
          </w:p>
          <w:p w14:paraId="03460457" w14:textId="2B9186D1" w:rsidR="00E657BE" w:rsidRPr="00E31524" w:rsidRDefault="00863B6A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Dans </w:t>
            </w:r>
            <w:r w:rsidR="00E657BE" w:rsidRPr="00E31524">
              <w:rPr>
                <w:sz w:val="16"/>
                <w:szCs w:val="18"/>
              </w:rPr>
              <w:t>50 mL de NS</w:t>
            </w:r>
            <w:r>
              <w:rPr>
                <w:sz w:val="16"/>
                <w:szCs w:val="18"/>
              </w:rPr>
              <w:t xml:space="preserve"> </w:t>
            </w:r>
          </w:p>
          <w:p w14:paraId="30211EA6" w14:textId="77777777" w:rsidR="00F46613" w:rsidRPr="00E31524" w:rsidRDefault="00F46613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  <w:p w14:paraId="01A1A41F" w14:textId="77777777" w:rsidR="00A36B2C" w:rsidRPr="00E31524" w:rsidRDefault="00F46613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Dans</w:t>
            </w:r>
            <w:r w:rsidR="002B2583" w:rsidRPr="00E31524">
              <w:rPr>
                <w:sz w:val="16"/>
                <w:szCs w:val="18"/>
              </w:rPr>
              <w:t xml:space="preserve"> 460</w:t>
            </w:r>
            <w:r w:rsidR="00A36B2C" w:rsidRPr="00E31524">
              <w:rPr>
                <w:sz w:val="16"/>
                <w:szCs w:val="18"/>
              </w:rPr>
              <w:t xml:space="preserve"> mL de NS</w:t>
            </w:r>
            <w:r w:rsidRPr="00E31524">
              <w:rPr>
                <w:sz w:val="16"/>
                <w:szCs w:val="18"/>
              </w:rPr>
              <w:t xml:space="preserve"> en sac</w:t>
            </w:r>
          </w:p>
          <w:p w14:paraId="3121ED43" w14:textId="77777777" w:rsidR="00F46613" w:rsidRPr="00E31524" w:rsidRDefault="00F46613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Concentration de 40 mg/mL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7D97FF6D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  <w:p w14:paraId="4B2EE701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En 1-2 minutes</w:t>
            </w:r>
          </w:p>
          <w:p w14:paraId="6160F0E5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15 minutes</w:t>
            </w:r>
          </w:p>
          <w:p w14:paraId="5F0671BB" w14:textId="77777777" w:rsidR="00A36B2C" w:rsidRPr="00E31524" w:rsidRDefault="00A36B2C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  <w:p w14:paraId="15460C65" w14:textId="77777777" w:rsidR="00E657BE" w:rsidRPr="00E31524" w:rsidRDefault="00A36B2C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25 mL/h (1 g/h)</w:t>
            </w:r>
          </w:p>
        </w:tc>
        <w:tc>
          <w:tcPr>
            <w:tcW w:w="172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B564307" w14:textId="77777777" w:rsidR="00E657BE" w:rsidRPr="00E31524" w:rsidRDefault="00E657BE" w:rsidP="00DC41FC">
            <w:pPr>
              <w:pStyle w:val="Sansinterligne"/>
              <w:spacing w:before="0"/>
              <w:jc w:val="left"/>
              <w:rPr>
                <w:b/>
                <w:sz w:val="16"/>
                <w:szCs w:val="18"/>
              </w:rPr>
            </w:pPr>
            <w:r w:rsidRPr="00E31524">
              <w:rPr>
                <w:b/>
                <w:sz w:val="16"/>
                <w:szCs w:val="18"/>
              </w:rPr>
              <w:t xml:space="preserve">IV : </w:t>
            </w:r>
          </w:p>
          <w:p w14:paraId="77563031" w14:textId="77777777" w:rsidR="00E657BE" w:rsidRPr="00E31524" w:rsidRDefault="00E657BE" w:rsidP="00DC41FC">
            <w:pPr>
              <w:pStyle w:val="Sansinterligne"/>
              <w:spacing w:before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Concentration max 20% (200</w:t>
            </w:r>
            <w:r w:rsidR="008A4A95" w:rsidRPr="00E31524">
              <w:rPr>
                <w:sz w:val="16"/>
                <w:szCs w:val="18"/>
              </w:rPr>
              <w:t xml:space="preserve"> </w:t>
            </w:r>
            <w:r w:rsidRPr="00E31524">
              <w:rPr>
                <w:sz w:val="16"/>
                <w:szCs w:val="18"/>
              </w:rPr>
              <w:t>mg/mL)</w:t>
            </w:r>
          </w:p>
          <w:p w14:paraId="4083C109" w14:textId="77777777" w:rsidR="00E657BE" w:rsidRPr="00E31524" w:rsidRDefault="00E657BE" w:rsidP="00DC41FC">
            <w:pPr>
              <w:pStyle w:val="Sansinterligne"/>
              <w:spacing w:before="0"/>
              <w:jc w:val="left"/>
              <w:rPr>
                <w:b/>
                <w:sz w:val="16"/>
                <w:szCs w:val="18"/>
              </w:rPr>
            </w:pPr>
          </w:p>
          <w:p w14:paraId="19914C37" w14:textId="3179203F" w:rsidR="00E657BE" w:rsidRPr="00664B42" w:rsidRDefault="00E657BE" w:rsidP="00DC41FC">
            <w:pPr>
              <w:pStyle w:val="Sansinterligne"/>
              <w:spacing w:before="0" w:after="0"/>
              <w:jc w:val="left"/>
              <w:rPr>
                <w:sz w:val="20"/>
                <w:szCs w:val="21"/>
              </w:rPr>
            </w:pPr>
            <w:r w:rsidRPr="00E31524">
              <w:rPr>
                <w:b/>
                <w:sz w:val="16"/>
                <w:szCs w:val="18"/>
              </w:rPr>
              <w:t>IM (si IV impossible)</w:t>
            </w:r>
            <w:r w:rsidRPr="00E31524">
              <w:rPr>
                <w:sz w:val="16"/>
                <w:szCs w:val="18"/>
              </w:rPr>
              <w:t> : Concentration 50% avec ajout de lidocaïne 2% dans le quadrant supérieur de la fesse</w:t>
            </w:r>
            <w:r w:rsidR="00E31524" w:rsidRPr="00E31524">
              <w:rPr>
                <w:sz w:val="16"/>
                <w:szCs w:val="18"/>
              </w:rPr>
              <w:t xml:space="preserve"> pour diminuer la douleur associée à l’injection IM. </w:t>
            </w:r>
          </w:p>
        </w:tc>
      </w:tr>
      <w:tr w:rsidR="00E657BE" w:rsidRPr="00E9602C" w14:paraId="7C3F1CB2" w14:textId="77777777" w:rsidTr="00863B6A">
        <w:trPr>
          <w:trHeight w:val="517"/>
        </w:trPr>
        <w:tc>
          <w:tcPr>
            <w:tcW w:w="1526" w:type="dxa"/>
            <w:vMerge/>
            <w:tcBorders>
              <w:right w:val="single" w:sz="24" w:space="0" w:color="auto"/>
            </w:tcBorders>
          </w:tcPr>
          <w:p w14:paraId="1BA79C8C" w14:textId="77777777" w:rsidR="00E657BE" w:rsidRPr="00E31524" w:rsidRDefault="00E657BE" w:rsidP="00DC41FC">
            <w:pPr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4" w:space="0" w:color="auto"/>
            </w:tcBorders>
          </w:tcPr>
          <w:p w14:paraId="082D61AF" w14:textId="77777777" w:rsidR="00E657BE" w:rsidRPr="00E31524" w:rsidRDefault="00E657BE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24" w:space="0" w:color="auto"/>
            </w:tcBorders>
          </w:tcPr>
          <w:p w14:paraId="50091A3D" w14:textId="77777777" w:rsidR="00E657BE" w:rsidRPr="00E31524" w:rsidRDefault="00E657BE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14:paraId="084081B0" w14:textId="77777777" w:rsidR="001A3014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Crise d’asthme sévère </w:t>
            </w:r>
          </w:p>
          <w:p w14:paraId="2DBBE327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(2 g)</w:t>
            </w:r>
          </w:p>
        </w:tc>
        <w:tc>
          <w:tcPr>
            <w:tcW w:w="2409" w:type="dxa"/>
            <w:tcBorders>
              <w:top w:val="single" w:sz="4" w:space="0" w:color="auto"/>
              <w:bottom w:val="dashSmallGap" w:sz="4" w:space="0" w:color="auto"/>
            </w:tcBorders>
          </w:tcPr>
          <w:p w14:paraId="1C061B13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Seringue </w:t>
            </w:r>
          </w:p>
          <w:p w14:paraId="31495B74" w14:textId="77777777" w:rsidR="00E657BE" w:rsidRPr="00E31524" w:rsidRDefault="00E657BE" w:rsidP="00E657BE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Compléter ad 10 mL de NS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24" w:space="0" w:color="auto"/>
            </w:tcBorders>
          </w:tcPr>
          <w:p w14:paraId="1325A94B" w14:textId="77777777" w:rsidR="00863B6A" w:rsidRDefault="00863B6A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  <w:p w14:paraId="664649C7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20 minutes</w:t>
            </w:r>
          </w:p>
        </w:tc>
        <w:tc>
          <w:tcPr>
            <w:tcW w:w="1728" w:type="dxa"/>
            <w:vMerge/>
            <w:tcBorders>
              <w:left w:val="single" w:sz="24" w:space="0" w:color="auto"/>
            </w:tcBorders>
          </w:tcPr>
          <w:p w14:paraId="318952ED" w14:textId="77777777" w:rsidR="00E657BE" w:rsidRDefault="00E657BE" w:rsidP="00DC41FC">
            <w:pPr>
              <w:pStyle w:val="Sansinterligne"/>
              <w:spacing w:before="0" w:after="0"/>
              <w:jc w:val="left"/>
              <w:rPr>
                <w:sz w:val="20"/>
                <w:szCs w:val="21"/>
              </w:rPr>
            </w:pPr>
          </w:p>
        </w:tc>
      </w:tr>
      <w:tr w:rsidR="00E657BE" w:rsidRPr="00E9602C" w14:paraId="07799CA3" w14:textId="77777777" w:rsidTr="00863B6A">
        <w:trPr>
          <w:trHeight w:val="270"/>
        </w:trPr>
        <w:tc>
          <w:tcPr>
            <w:tcW w:w="1526" w:type="dxa"/>
            <w:vMerge/>
            <w:tcBorders>
              <w:bottom w:val="single" w:sz="4" w:space="0" w:color="auto"/>
              <w:right w:val="single" w:sz="24" w:space="0" w:color="auto"/>
            </w:tcBorders>
          </w:tcPr>
          <w:p w14:paraId="1C3CC743" w14:textId="77777777" w:rsidR="00E657BE" w:rsidRPr="00E31524" w:rsidRDefault="00E657BE" w:rsidP="00DC41FC">
            <w:pPr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4" w:space="0" w:color="auto"/>
            </w:tcBorders>
          </w:tcPr>
          <w:p w14:paraId="62B50CB6" w14:textId="77777777" w:rsidR="00E657BE" w:rsidRPr="00E31524" w:rsidRDefault="00E657BE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24" w:space="0" w:color="auto"/>
            </w:tcBorders>
          </w:tcPr>
          <w:p w14:paraId="56B584DF" w14:textId="77777777" w:rsidR="00E657BE" w:rsidRPr="00E31524" w:rsidRDefault="00E657BE" w:rsidP="00DC41FC">
            <w:pPr>
              <w:pStyle w:val="Sansinterligne"/>
              <w:spacing w:before="0" w:after="0"/>
              <w:rPr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0CB7484A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single" w:sz="4" w:space="0" w:color="auto"/>
            </w:tcBorders>
          </w:tcPr>
          <w:p w14:paraId="6E5CFA39" w14:textId="0D4C0CC0" w:rsidR="00E657BE" w:rsidRPr="00E31524" w:rsidRDefault="00863B6A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Sac prêt à l’emploi  2g/50 mL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24" w:space="0" w:color="auto"/>
            </w:tcBorders>
          </w:tcPr>
          <w:p w14:paraId="7FF85783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1728" w:type="dxa"/>
            <w:vMerge/>
            <w:tcBorders>
              <w:left w:val="single" w:sz="24" w:space="0" w:color="auto"/>
            </w:tcBorders>
          </w:tcPr>
          <w:p w14:paraId="754231B3" w14:textId="77777777" w:rsidR="00E657BE" w:rsidRDefault="00E657BE" w:rsidP="00DC41FC">
            <w:pPr>
              <w:pStyle w:val="Sansinterligne"/>
              <w:spacing w:before="0" w:after="0"/>
              <w:jc w:val="left"/>
              <w:rPr>
                <w:sz w:val="20"/>
                <w:szCs w:val="21"/>
              </w:rPr>
            </w:pPr>
          </w:p>
        </w:tc>
      </w:tr>
      <w:tr w:rsidR="00E657BE" w:rsidRPr="008A4A95" w14:paraId="1C1F635E" w14:textId="77777777" w:rsidTr="00863B6A">
        <w:trPr>
          <w:trHeight w:val="855"/>
        </w:trPr>
        <w:tc>
          <w:tcPr>
            <w:tcW w:w="1526" w:type="dxa"/>
            <w:vMerge w:val="restart"/>
            <w:tcBorders>
              <w:right w:val="single" w:sz="24" w:space="0" w:color="auto"/>
            </w:tcBorders>
            <w:shd w:val="clear" w:color="auto" w:fill="F2DBDB" w:themeFill="accent2" w:themeFillTint="33"/>
          </w:tcPr>
          <w:p w14:paraId="5F7ACF63" w14:textId="4495DAF5" w:rsidR="00E657BE" w:rsidRPr="00E31524" w:rsidRDefault="00E657BE" w:rsidP="00DC41FC">
            <w:pPr>
              <w:keepNext/>
              <w:spacing w:before="0" w:after="0" w:line="276" w:lineRule="auto"/>
              <w:jc w:val="left"/>
              <w:rPr>
                <w:rFonts w:cstheme="minorHAnsi"/>
                <w:sz w:val="16"/>
                <w:szCs w:val="18"/>
              </w:rPr>
            </w:pPr>
            <w:r w:rsidRPr="00E31524">
              <w:rPr>
                <w:rFonts w:cstheme="minorHAnsi"/>
                <w:sz w:val="16"/>
                <w:szCs w:val="18"/>
              </w:rPr>
              <w:t>Conservation :</w:t>
            </w:r>
          </w:p>
          <w:p w14:paraId="0572EF52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Température ambiante </w:t>
            </w:r>
          </w:p>
          <w:p w14:paraId="2553D4EA" w14:textId="77777777" w:rsidR="00E657BE" w:rsidRPr="00E31524" w:rsidRDefault="00E657BE" w:rsidP="00DC41FC">
            <w:pPr>
              <w:pStyle w:val="Sansinterligne"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4" w:space="0" w:color="auto"/>
            </w:tcBorders>
          </w:tcPr>
          <w:p w14:paraId="1C1BCA5C" w14:textId="77777777" w:rsidR="00E657BE" w:rsidRPr="00E31524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24" w:space="0" w:color="auto"/>
            </w:tcBorders>
          </w:tcPr>
          <w:p w14:paraId="712EEB7C" w14:textId="77777777" w:rsidR="00E657BE" w:rsidRPr="00E31524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</w:tcBorders>
          </w:tcPr>
          <w:p w14:paraId="300CD980" w14:textId="77777777" w:rsidR="00E657BE" w:rsidRPr="00E31524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Hypomagnésémie</w:t>
            </w:r>
          </w:p>
          <w:p w14:paraId="7800DB3D" w14:textId="7C939807" w:rsidR="00E657BE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  <w:r w:rsidR="00E657BE" w:rsidRPr="00E31524">
              <w:rPr>
                <w:sz w:val="16"/>
                <w:szCs w:val="18"/>
              </w:rPr>
              <w:t xml:space="preserve"> g </w:t>
            </w:r>
          </w:p>
          <w:p w14:paraId="250058A9" w14:textId="195611AE" w:rsidR="00863B6A" w:rsidRPr="00E31524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 g</w:t>
            </w:r>
          </w:p>
          <w:p w14:paraId="53E7A7E6" w14:textId="31D04009" w:rsidR="00D62135" w:rsidRDefault="00863B6A" w:rsidP="00E657B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3-</w:t>
            </w:r>
            <w:r w:rsidR="00E657BE" w:rsidRPr="00E31524">
              <w:rPr>
                <w:sz w:val="16"/>
                <w:szCs w:val="18"/>
              </w:rPr>
              <w:t>4 g</w:t>
            </w:r>
          </w:p>
          <w:p w14:paraId="1D356074" w14:textId="662E9B15" w:rsidR="00863B6A" w:rsidRPr="00E31524" w:rsidRDefault="00863B6A" w:rsidP="00E657B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Plus de 4 g</w:t>
            </w:r>
          </w:p>
          <w:p w14:paraId="7920FC64" w14:textId="7C246A06" w:rsidR="00D62135" w:rsidRPr="00E31524" w:rsidRDefault="00D62135" w:rsidP="00E657B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863B6A">
              <w:rPr>
                <w:sz w:val="14"/>
                <w:szCs w:val="18"/>
              </w:rPr>
              <w:t>Se référer au guide de pratique clinique « </w:t>
            </w:r>
            <w:r w:rsidRPr="00863B6A">
              <w:rPr>
                <w:i/>
                <w:iCs/>
                <w:sz w:val="14"/>
                <w:szCs w:val="18"/>
              </w:rPr>
              <w:t>Réplétions des électrolytes en soins aigus adulte – à l’exceptio</w:t>
            </w:r>
            <w:r w:rsidR="002B2583" w:rsidRPr="00863B6A">
              <w:rPr>
                <w:i/>
                <w:iCs/>
                <w:sz w:val="14"/>
                <w:szCs w:val="18"/>
              </w:rPr>
              <w:t>n des unités de soins intensifs</w:t>
            </w:r>
            <w:r w:rsidR="00863B6A" w:rsidRPr="00863B6A">
              <w:rPr>
                <w:i/>
                <w:iCs/>
                <w:sz w:val="14"/>
                <w:szCs w:val="18"/>
              </w:rPr>
              <w:t> »</w:t>
            </w:r>
          </w:p>
        </w:tc>
        <w:tc>
          <w:tcPr>
            <w:tcW w:w="2409" w:type="dxa"/>
            <w:shd w:val="clear" w:color="auto" w:fill="auto"/>
          </w:tcPr>
          <w:p w14:paraId="017F805E" w14:textId="77777777" w:rsidR="00E657BE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  <w:p w14:paraId="15F1023A" w14:textId="4FFA46F8" w:rsidR="00863B6A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 mL de NS</w:t>
            </w:r>
          </w:p>
          <w:p w14:paraId="3991E57C" w14:textId="3EBA054A" w:rsidR="00863B6A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Sac prêt à l’emploi 2g / 50 mL</w:t>
            </w:r>
          </w:p>
          <w:p w14:paraId="136C4954" w14:textId="77777777" w:rsidR="00E657BE" w:rsidRPr="00E31524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100 mL de NS</w:t>
            </w:r>
          </w:p>
          <w:p w14:paraId="3C45D151" w14:textId="77777777" w:rsidR="00E657BE" w:rsidRPr="00E31524" w:rsidRDefault="00E657BE" w:rsidP="00E657B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250 mL de NS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24" w:space="0" w:color="auto"/>
            </w:tcBorders>
          </w:tcPr>
          <w:p w14:paraId="74BD0996" w14:textId="77777777" w:rsidR="00863B6A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  <w:p w14:paraId="5D7BDF70" w14:textId="77777777" w:rsidR="00AF54D5" w:rsidRPr="00E31524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0.5-1 g/h</w:t>
            </w:r>
          </w:p>
          <w:p w14:paraId="7437A719" w14:textId="77777777" w:rsidR="00AF54D5" w:rsidRPr="00E31524" w:rsidRDefault="00AF54D5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Favoriser administration lente pour réplétion </w:t>
            </w:r>
            <w:r w:rsidR="001A3014" w:rsidRPr="00E31524">
              <w:rPr>
                <w:sz w:val="16"/>
                <w:szCs w:val="18"/>
              </w:rPr>
              <w:t xml:space="preserve">plus </w:t>
            </w:r>
            <w:r w:rsidRPr="00E31524">
              <w:rPr>
                <w:sz w:val="16"/>
                <w:szCs w:val="18"/>
              </w:rPr>
              <w:t xml:space="preserve">efficace </w:t>
            </w:r>
            <w:r w:rsidR="00E657BE" w:rsidRPr="00E31524">
              <w:rPr>
                <w:sz w:val="16"/>
                <w:szCs w:val="18"/>
              </w:rPr>
              <w:t xml:space="preserve"> </w:t>
            </w:r>
          </w:p>
          <w:p w14:paraId="16125B00" w14:textId="77777777" w:rsidR="00E657BE" w:rsidRPr="00E31524" w:rsidRDefault="00E657BE" w:rsidP="00E657B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Max 2 g/h</w:t>
            </w:r>
            <w:r w:rsidR="008A4A95" w:rsidRPr="00E31524">
              <w:rPr>
                <w:sz w:val="16"/>
                <w:szCs w:val="18"/>
              </w:rPr>
              <w:t xml:space="preserve"> pour éviter hypotension</w:t>
            </w:r>
          </w:p>
        </w:tc>
        <w:tc>
          <w:tcPr>
            <w:tcW w:w="1728" w:type="dxa"/>
            <w:vMerge/>
            <w:tcBorders>
              <w:left w:val="single" w:sz="24" w:space="0" w:color="auto"/>
            </w:tcBorders>
            <w:vAlign w:val="center"/>
          </w:tcPr>
          <w:p w14:paraId="5939DEA6" w14:textId="77777777" w:rsidR="00E657BE" w:rsidRPr="008A4A95" w:rsidRDefault="00E657BE" w:rsidP="00DC41FC">
            <w:pPr>
              <w:keepNext/>
              <w:spacing w:before="0" w:after="0"/>
              <w:jc w:val="left"/>
              <w:rPr>
                <w:rFonts w:cstheme="minorHAnsi"/>
              </w:rPr>
            </w:pPr>
          </w:p>
        </w:tc>
      </w:tr>
      <w:tr w:rsidR="00E657BE" w:rsidRPr="00E657BE" w14:paraId="153F10A7" w14:textId="77777777" w:rsidTr="00863B6A">
        <w:trPr>
          <w:trHeight w:val="975"/>
        </w:trPr>
        <w:tc>
          <w:tcPr>
            <w:tcW w:w="1526" w:type="dxa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14:paraId="7B33D78D" w14:textId="77777777" w:rsidR="00E657BE" w:rsidRPr="00E31524" w:rsidRDefault="00E657BE" w:rsidP="00DC41FC">
            <w:pPr>
              <w:keepNext/>
              <w:spacing w:before="0" w:after="0"/>
              <w:jc w:val="left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0EE1243A" w14:textId="77777777" w:rsidR="00E657BE" w:rsidRPr="00E31524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4" w:space="0" w:color="auto"/>
            </w:tcBorders>
          </w:tcPr>
          <w:p w14:paraId="6E377D0A" w14:textId="77777777" w:rsidR="00E657BE" w:rsidRPr="00E31524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2552" w:type="dxa"/>
            <w:tcBorders>
              <w:left w:val="single" w:sz="24" w:space="0" w:color="auto"/>
              <w:bottom w:val="single" w:sz="4" w:space="0" w:color="auto"/>
            </w:tcBorders>
          </w:tcPr>
          <w:p w14:paraId="61C4DCC5" w14:textId="77777777" w:rsidR="00E657BE" w:rsidRPr="00E31524" w:rsidRDefault="00E657BE" w:rsidP="00E657BE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>Hypomagnésémie sé</w:t>
            </w:r>
            <w:r w:rsidR="001A3014" w:rsidRPr="00E31524">
              <w:rPr>
                <w:sz w:val="16"/>
                <w:szCs w:val="18"/>
              </w:rPr>
              <w:t>vère et symptomatique (tétanie, d’arythmies ou de convulsions)</w:t>
            </w:r>
          </w:p>
          <w:p w14:paraId="179E559F" w14:textId="77777777" w:rsidR="00E657BE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1g </w:t>
            </w:r>
          </w:p>
          <w:p w14:paraId="58566062" w14:textId="304775E0" w:rsidR="00863B6A" w:rsidRPr="00E31524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2g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F0746A5" w14:textId="77777777" w:rsidR="00863B6A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  <w:p w14:paraId="152E0707" w14:textId="77777777" w:rsidR="00863B6A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  <w:p w14:paraId="21D05E47" w14:textId="77777777" w:rsidR="00863B6A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  <w:p w14:paraId="4081E64C" w14:textId="77777777" w:rsidR="00E657BE" w:rsidRDefault="00AF54D5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Mini sac </w:t>
            </w:r>
            <w:r w:rsidR="00E657BE" w:rsidRPr="00E31524">
              <w:rPr>
                <w:sz w:val="16"/>
                <w:szCs w:val="18"/>
              </w:rPr>
              <w:t>50 mL de NS</w:t>
            </w:r>
          </w:p>
          <w:p w14:paraId="04BC823F" w14:textId="7F48230D" w:rsidR="00863B6A" w:rsidRPr="00E31524" w:rsidRDefault="00863B6A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Sac prêt à l’emploi 2 g /50 mL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24" w:space="0" w:color="auto"/>
            </w:tcBorders>
          </w:tcPr>
          <w:p w14:paraId="0D75A163" w14:textId="77777777" w:rsidR="00863B6A" w:rsidRDefault="00863B6A" w:rsidP="00AF54D5">
            <w:pPr>
              <w:pStyle w:val="Sansinterligne"/>
              <w:spacing w:before="0"/>
              <w:jc w:val="left"/>
              <w:rPr>
                <w:sz w:val="16"/>
                <w:szCs w:val="18"/>
              </w:rPr>
            </w:pPr>
          </w:p>
          <w:p w14:paraId="4EDD5AEA" w14:textId="77777777" w:rsidR="00AF54D5" w:rsidRPr="00E31524" w:rsidRDefault="00E657BE" w:rsidP="00AF54D5">
            <w:pPr>
              <w:pStyle w:val="Sansinterligne"/>
              <w:spacing w:before="0"/>
              <w:jc w:val="left"/>
              <w:rPr>
                <w:sz w:val="16"/>
                <w:szCs w:val="18"/>
                <w:highlight w:val="green"/>
              </w:rPr>
            </w:pPr>
            <w:r w:rsidRPr="00863B6A">
              <w:rPr>
                <w:sz w:val="16"/>
                <w:szCs w:val="18"/>
              </w:rPr>
              <w:t>15 minutes</w:t>
            </w:r>
            <w:r w:rsidR="00AF54D5" w:rsidRPr="00E31524">
              <w:rPr>
                <w:sz w:val="16"/>
                <w:szCs w:val="18"/>
                <w:highlight w:val="green"/>
              </w:rPr>
              <w:t xml:space="preserve"> </w:t>
            </w:r>
          </w:p>
          <w:p w14:paraId="1CF5AD69" w14:textId="77777777" w:rsidR="00AF54D5" w:rsidRPr="00E31524" w:rsidRDefault="00AF54D5" w:rsidP="00AF54D5">
            <w:pPr>
              <w:pStyle w:val="Sansinterligne"/>
              <w:spacing w:before="0"/>
              <w:jc w:val="left"/>
              <w:rPr>
                <w:sz w:val="16"/>
                <w:szCs w:val="18"/>
              </w:rPr>
            </w:pPr>
            <w:r w:rsidRPr="00E31524">
              <w:rPr>
                <w:sz w:val="16"/>
                <w:szCs w:val="18"/>
              </w:rPr>
              <w:t xml:space="preserve">Vitesse max 150 mg/min </w:t>
            </w:r>
          </w:p>
          <w:p w14:paraId="180A45ED" w14:textId="77777777" w:rsidR="00E657BE" w:rsidRPr="00863B6A" w:rsidRDefault="00E657BE" w:rsidP="00DC41FC">
            <w:pPr>
              <w:keepNext/>
              <w:spacing w:before="0" w:after="0"/>
              <w:jc w:val="left"/>
              <w:rPr>
                <w:sz w:val="16"/>
                <w:szCs w:val="18"/>
              </w:rPr>
            </w:pPr>
          </w:p>
        </w:tc>
        <w:tc>
          <w:tcPr>
            <w:tcW w:w="1728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D295216" w14:textId="77777777" w:rsidR="00E657BE" w:rsidRPr="00863B6A" w:rsidRDefault="00E657BE" w:rsidP="00DC41FC">
            <w:pPr>
              <w:keepNext/>
              <w:spacing w:before="0" w:after="0"/>
              <w:jc w:val="left"/>
              <w:rPr>
                <w:rFonts w:cstheme="minorHAnsi"/>
              </w:rPr>
            </w:pPr>
          </w:p>
        </w:tc>
      </w:tr>
    </w:tbl>
    <w:p w14:paraId="0B0327E3" w14:textId="77777777" w:rsidR="00E31524" w:rsidRDefault="00E31524" w:rsidP="00887FAB">
      <w:pPr>
        <w:spacing w:before="0" w:after="0"/>
        <w:contextualSpacing/>
        <w:jc w:val="left"/>
        <w:rPr>
          <w:b/>
          <w:sz w:val="16"/>
          <w:szCs w:val="16"/>
        </w:rPr>
      </w:pPr>
    </w:p>
    <w:p w14:paraId="2F6E9768" w14:textId="09E400E6" w:rsidR="00945D21" w:rsidRPr="00E31524" w:rsidRDefault="00A05B64" w:rsidP="00887FAB">
      <w:pPr>
        <w:spacing w:before="0" w:after="0"/>
        <w:contextualSpacing/>
        <w:jc w:val="left"/>
        <w:rPr>
          <w:b/>
          <w:sz w:val="16"/>
          <w:szCs w:val="16"/>
        </w:rPr>
      </w:pPr>
      <w:r w:rsidRPr="00E31524">
        <w:rPr>
          <w:b/>
          <w:sz w:val="16"/>
          <w:szCs w:val="16"/>
        </w:rPr>
        <w:t>Stabilité</w:t>
      </w:r>
      <w:r w:rsidR="00711A64" w:rsidRPr="00E31524">
        <w:rPr>
          <w:b/>
          <w:sz w:val="16"/>
          <w:szCs w:val="16"/>
        </w:rPr>
        <w:t xml:space="preserve"> pour une préparation à l’unité de soins</w:t>
      </w:r>
      <w:r w:rsidRPr="00E31524">
        <w:rPr>
          <w:b/>
          <w:sz w:val="16"/>
          <w:szCs w:val="16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E31524" w14:paraId="7F854A35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40B34839" w14:textId="77777777" w:rsidR="00306654" w:rsidRPr="00E31524" w:rsidRDefault="00306654" w:rsidP="00887FAB">
            <w:pPr>
              <w:spacing w:before="0" w:after="0" w:line="276" w:lineRule="auto"/>
              <w:contextualSpacing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Fiole utilisée :</w:t>
            </w:r>
          </w:p>
        </w:tc>
        <w:sdt>
          <w:sdtPr>
            <w:rPr>
              <w:sz w:val="16"/>
              <w:szCs w:val="16"/>
            </w:rPr>
            <w:id w:val="460845180"/>
            <w:placeholder>
              <w:docPart w:val="A0C7C61D630442ECAE6A4CBD007F9D5A"/>
            </w:placeholder>
          </w:sdtPr>
          <w:sdtEndPr/>
          <w:sdtContent>
            <w:sdt>
              <w:sdtPr>
                <w:rPr>
                  <w:sz w:val="16"/>
                  <w:szCs w:val="16"/>
                </w:rPr>
                <w:alias w:val="Insérer du texte"/>
                <w:tag w:val="Insérer du texte"/>
                <w:id w:val="-1884086848"/>
                <w:placeholder>
                  <w:docPart w:val="0734949D6FE44AB29BCAE8012DDF0044"/>
                </w:placeholder>
              </w:sdtPr>
              <w:sdtEndPr/>
              <w:sdtContent>
                <w:tc>
                  <w:tcPr>
                    <w:tcW w:w="11650" w:type="dxa"/>
                    <w:vAlign w:val="center"/>
                  </w:tcPr>
                  <w:p w14:paraId="38E68B93" w14:textId="77777777" w:rsidR="00306654" w:rsidRPr="00E31524" w:rsidRDefault="00483B2F" w:rsidP="00887FAB">
                    <w:pPr>
                      <w:spacing w:before="0" w:after="0" w:line="276" w:lineRule="auto"/>
                      <w:contextualSpacing/>
                      <w:jc w:val="left"/>
                      <w:rPr>
                        <w:sz w:val="16"/>
                        <w:szCs w:val="16"/>
                      </w:rPr>
                    </w:pPr>
                    <w:r w:rsidRPr="00E31524">
                      <w:rPr>
                        <w:sz w:val="16"/>
                        <w:szCs w:val="16"/>
                      </w:rPr>
                      <w:t>Jeter toute portion inutilisée.</w:t>
                    </w:r>
                  </w:p>
                </w:tc>
              </w:sdtContent>
            </w:sdt>
          </w:sdtContent>
        </w:sdt>
      </w:tr>
      <w:tr w:rsidR="00306654" w:rsidRPr="00E31524" w14:paraId="786E7132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377CE238" w14:textId="77777777" w:rsidR="00306654" w:rsidRPr="00E31524" w:rsidRDefault="00494B0D" w:rsidP="00887FAB">
            <w:pPr>
              <w:spacing w:before="0" w:after="0" w:line="276" w:lineRule="auto"/>
              <w:ind w:right="-533"/>
              <w:contextualSpacing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Sac </w:t>
            </w:r>
            <w:r w:rsidR="00306654" w:rsidRPr="00E31524">
              <w:rPr>
                <w:sz w:val="16"/>
                <w:szCs w:val="16"/>
              </w:rPr>
              <w:t xml:space="preserve">: </w:t>
            </w:r>
          </w:p>
        </w:tc>
        <w:sdt>
          <w:sdtPr>
            <w:rPr>
              <w:sz w:val="16"/>
              <w:szCs w:val="16"/>
            </w:rPr>
            <w:id w:val="1960842908"/>
            <w:lock w:val="sdtLocked"/>
            <w:placeholder>
              <w:docPart w:val="C73FD100409643259BE3E66207DF8E3D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4CFF47B3" w14:textId="7D80DEBE" w:rsidR="00306654" w:rsidRPr="00E31524" w:rsidRDefault="00E31524" w:rsidP="00887FAB">
                <w:pPr>
                  <w:spacing w:before="0" w:after="0" w:line="276" w:lineRule="auto"/>
                  <w:contextualSpacing/>
                  <w:jc w:val="left"/>
                  <w:rPr>
                    <w:sz w:val="16"/>
                    <w:szCs w:val="16"/>
                  </w:rPr>
                </w:pPr>
                <w:r w:rsidRPr="00E31524">
                  <w:rPr>
                    <w:sz w:val="16"/>
                    <w:szCs w:val="16"/>
                  </w:rPr>
                  <w:t>L’administration doit</w:t>
                </w:r>
                <w:r w:rsidR="00483B2F" w:rsidRPr="00E31524">
                  <w:rPr>
                    <w:sz w:val="16"/>
                    <w:szCs w:val="16"/>
                  </w:rPr>
                  <w:t xml:space="preserve"> débuter dans l’heure suivant la préparation.</w:t>
                </w:r>
              </w:p>
            </w:tc>
          </w:sdtContent>
        </w:sdt>
      </w:tr>
    </w:tbl>
    <w:p w14:paraId="3FF97CD5" w14:textId="77777777" w:rsidR="00C65E2C" w:rsidRPr="00E31524" w:rsidRDefault="00A05B64" w:rsidP="00887FAB">
      <w:pPr>
        <w:spacing w:before="0" w:after="0"/>
        <w:contextualSpacing/>
        <w:jc w:val="left"/>
        <w:rPr>
          <w:rFonts w:cstheme="minorHAnsi"/>
          <w:sz w:val="16"/>
          <w:szCs w:val="16"/>
        </w:rPr>
      </w:pPr>
      <w:r w:rsidRPr="00E31524">
        <w:rPr>
          <w:rFonts w:cstheme="minorHAnsi"/>
          <w:b/>
          <w:sz w:val="16"/>
          <w:szCs w:val="16"/>
        </w:rPr>
        <w:t>Compatibilité avec les solutés :</w:t>
      </w:r>
      <w:r w:rsidRPr="00E31524">
        <w:rPr>
          <w:rFonts w:cstheme="minorHAnsi"/>
          <w:sz w:val="16"/>
          <w:szCs w:val="16"/>
        </w:rPr>
        <w:t xml:space="preserve"> </w:t>
      </w:r>
      <w:bookmarkStart w:id="0" w:name="_Toc424288453"/>
      <w:sdt>
        <w:sdtPr>
          <w:rPr>
            <w:rFonts w:cstheme="minorHAnsi"/>
            <w:sz w:val="16"/>
            <w:szCs w:val="16"/>
          </w:rPr>
          <w:id w:val="-1968195364"/>
          <w:lock w:val="sdtLocked"/>
          <w:placeholder>
            <w:docPart w:val="4686BD1E639D4F9E8BAB560CD3A5F2C6"/>
          </w:placeholder>
        </w:sdtPr>
        <w:sdtEndPr/>
        <w:sdtContent>
          <w:sdt>
            <w:sdtPr>
              <w:rPr>
                <w:rFonts w:cstheme="minorHAnsi"/>
                <w:color w:val="7030A0"/>
                <w:sz w:val="16"/>
                <w:szCs w:val="16"/>
              </w:rPr>
              <w:id w:val="1114479127"/>
              <w:placeholder>
                <w:docPart w:val="BDABA054760948888709621506BAC3FD"/>
              </w:placeholder>
            </w:sdtPr>
            <w:sdtEndPr/>
            <w:sdtContent>
              <w:r w:rsidR="00483B2F" w:rsidRPr="00E31524">
                <w:rPr>
                  <w:rFonts w:cstheme="minorHAnsi"/>
                  <w:sz w:val="16"/>
                  <w:szCs w:val="16"/>
                </w:rPr>
                <w:t>D5%, NS, LR</w:t>
              </w:r>
            </w:sdtContent>
          </w:sdt>
        </w:sdtContent>
      </w:sdt>
    </w:p>
    <w:p w14:paraId="6136BFFC" w14:textId="17B44837" w:rsidR="00DE1B28" w:rsidRPr="00E31524" w:rsidRDefault="00C278A4" w:rsidP="00887FAB">
      <w:pPr>
        <w:spacing w:before="0"/>
        <w:contextualSpacing/>
        <w:jc w:val="left"/>
        <w:rPr>
          <w:rFonts w:cstheme="minorHAnsi"/>
          <w:b/>
          <w:sz w:val="16"/>
          <w:szCs w:val="16"/>
        </w:rPr>
      </w:pPr>
      <w:r w:rsidRPr="00E31524">
        <w:rPr>
          <w:rFonts w:cstheme="minorHAnsi"/>
          <w:b/>
          <w:sz w:val="16"/>
          <w:szCs w:val="16"/>
        </w:rPr>
        <w:t>Incompatibilité</w:t>
      </w:r>
      <w:r w:rsidR="00945D21" w:rsidRPr="00E31524">
        <w:rPr>
          <w:rFonts w:cstheme="minorHAnsi"/>
          <w:b/>
          <w:sz w:val="16"/>
          <w:szCs w:val="16"/>
        </w:rPr>
        <w:t xml:space="preserve"> : </w:t>
      </w:r>
      <w:sdt>
        <w:sdtPr>
          <w:rPr>
            <w:rFonts w:cstheme="minorHAnsi"/>
            <w:b/>
            <w:sz w:val="16"/>
            <w:szCs w:val="16"/>
          </w:rPr>
          <w:id w:val="189185613"/>
          <w:lock w:val="sdtLocked"/>
          <w:placeholder>
            <w:docPart w:val="CF0601ABF74045B194A7E1EEED5BDA48"/>
          </w:placeholder>
        </w:sdtPr>
        <w:sdtEndPr/>
        <w:sdtContent>
          <w:sdt>
            <w:sdtPr>
              <w:rPr>
                <w:rFonts w:cstheme="minorHAnsi"/>
                <w:b/>
                <w:sz w:val="16"/>
                <w:szCs w:val="16"/>
              </w:rPr>
              <w:id w:val="986059598"/>
              <w:placeholder>
                <w:docPart w:val="9DF937A46EE24725A341CABDD5420C11"/>
              </w:placeholder>
            </w:sdtPr>
            <w:sdtEndPr/>
            <w:sdtContent>
              <w:r w:rsidR="00483B2F" w:rsidRPr="00E31524">
                <w:rPr>
                  <w:rFonts w:cstheme="minorHAnsi"/>
                  <w:sz w:val="16"/>
                  <w:szCs w:val="16"/>
                </w:rPr>
                <w:t>Se référ</w:t>
              </w:r>
              <w:r w:rsidR="00FF231A">
                <w:rPr>
                  <w:rFonts w:cstheme="minorHAnsi"/>
                  <w:sz w:val="16"/>
                  <w:szCs w:val="16"/>
                </w:rPr>
                <w:t>er au tableau de compatibilités</w:t>
              </w:r>
              <w:bookmarkStart w:id="1" w:name="_GoBack"/>
              <w:bookmarkEnd w:id="1"/>
            </w:sdtContent>
          </w:sdt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87"/>
        <w:gridCol w:w="6613"/>
      </w:tblGrid>
      <w:tr w:rsidR="0001492A" w:rsidRPr="00E9602C" w14:paraId="2A4B030F" w14:textId="77777777" w:rsidTr="00860722">
        <w:trPr>
          <w:trHeight w:val="567"/>
        </w:trPr>
        <w:tc>
          <w:tcPr>
            <w:tcW w:w="6487" w:type="dxa"/>
            <w:shd w:val="clear" w:color="auto" w:fill="95B3D7" w:themeFill="accent1" w:themeFillTint="99"/>
            <w:vAlign w:val="center"/>
          </w:tcPr>
          <w:bookmarkEnd w:id="0"/>
          <w:p w14:paraId="0C7000C4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lastRenderedPageBreak/>
              <w:t>PRÉCAUTIONS ET MONITORAGE</w:t>
            </w:r>
          </w:p>
        </w:tc>
        <w:tc>
          <w:tcPr>
            <w:tcW w:w="6613" w:type="dxa"/>
            <w:shd w:val="clear" w:color="auto" w:fill="95B3D7" w:themeFill="accent1" w:themeFillTint="99"/>
            <w:vAlign w:val="center"/>
          </w:tcPr>
          <w:p w14:paraId="3FDA06FE" w14:textId="77777777"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14:paraId="7C7E4951" w14:textId="77777777" w:rsidTr="00860722">
        <w:trPr>
          <w:trHeight w:val="5610"/>
        </w:trPr>
        <w:tc>
          <w:tcPr>
            <w:tcW w:w="6487" w:type="dxa"/>
          </w:tcPr>
          <w:p w14:paraId="1AC1268D" w14:textId="77777777" w:rsidR="00542BE3" w:rsidRPr="00E31524" w:rsidRDefault="00542BE3" w:rsidP="00484979">
            <w:pPr>
              <w:jc w:val="left"/>
              <w:rPr>
                <w:sz w:val="16"/>
                <w:szCs w:val="16"/>
              </w:rPr>
            </w:pPr>
            <w:r w:rsidRPr="00E31524">
              <w:rPr>
                <w:b/>
                <w:sz w:val="16"/>
                <w:szCs w:val="16"/>
                <w:u w:val="single"/>
              </w:rPr>
              <w:t>Monitorage</w:t>
            </w:r>
            <w:r w:rsidRPr="00E31524">
              <w:rPr>
                <w:sz w:val="16"/>
                <w:szCs w:val="16"/>
              </w:rPr>
              <w:t> :</w:t>
            </w:r>
          </w:p>
          <w:p w14:paraId="7EF0A95D" w14:textId="77777777" w:rsidR="0033091B" w:rsidRPr="00E31524" w:rsidRDefault="0033091B" w:rsidP="0033091B">
            <w:pPr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Arythmies, arrêt cardiaque, crise d’asthme sévère ou hypomagnésémie symptomatique sévère :</w:t>
            </w:r>
          </w:p>
          <w:p w14:paraId="719E5330" w14:textId="77777777" w:rsidR="009342CF" w:rsidRPr="00E31524" w:rsidRDefault="001A3014" w:rsidP="0033091B">
            <w:pPr>
              <w:ind w:left="284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Monitorage cardiaque</w:t>
            </w:r>
            <w:r w:rsidR="009342CF" w:rsidRPr="00E31524">
              <w:rPr>
                <w:sz w:val="16"/>
                <w:szCs w:val="16"/>
              </w:rPr>
              <w:t xml:space="preserve"> </w:t>
            </w:r>
          </w:p>
          <w:p w14:paraId="61EA42C2" w14:textId="77777777" w:rsidR="0011230A" w:rsidRPr="00E31524" w:rsidRDefault="0033091B" w:rsidP="0033091B">
            <w:pPr>
              <w:ind w:left="284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État respiratoire (FR, rythme et amplitude) q</w:t>
            </w:r>
            <w:r w:rsidR="00D62135" w:rsidRPr="00E31524">
              <w:rPr>
                <w:sz w:val="16"/>
                <w:szCs w:val="16"/>
              </w:rPr>
              <w:t>15</w:t>
            </w:r>
            <w:r w:rsidR="0011230A" w:rsidRPr="00E31524">
              <w:rPr>
                <w:sz w:val="16"/>
                <w:szCs w:val="16"/>
              </w:rPr>
              <w:t xml:space="preserve"> minutes pendant la perfusion</w:t>
            </w:r>
            <w:r w:rsidRPr="00E31524">
              <w:rPr>
                <w:sz w:val="16"/>
                <w:szCs w:val="16"/>
              </w:rPr>
              <w:t xml:space="preserve"> et q15 min X 2 à la fin de la perfusion</w:t>
            </w:r>
          </w:p>
          <w:p w14:paraId="73100316" w14:textId="77777777" w:rsidR="0033091B" w:rsidRPr="00E31524" w:rsidRDefault="0033091B" w:rsidP="0033091B">
            <w:pPr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 xml:space="preserve">Hypomagnésémie :  </w:t>
            </w:r>
          </w:p>
          <w:p w14:paraId="3F6805A3" w14:textId="1316B804" w:rsidR="0033091B" w:rsidRPr="00E31524" w:rsidRDefault="0033091B" w:rsidP="00E31524">
            <w:pPr>
              <w:ind w:left="284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 xml:space="preserve">TA, FC, état respiratoire (FR, rythme et amplitude) </w:t>
            </w:r>
            <w:r w:rsidR="00BE6B77">
              <w:rPr>
                <w:sz w:val="16"/>
                <w:szCs w:val="16"/>
              </w:rPr>
              <w:t xml:space="preserve">q15 min X 2 puis q30 min pendant </w:t>
            </w:r>
            <w:r w:rsidRPr="00E31524">
              <w:rPr>
                <w:sz w:val="16"/>
                <w:szCs w:val="16"/>
              </w:rPr>
              <w:t xml:space="preserve">la perfusion </w:t>
            </w:r>
          </w:p>
          <w:p w14:paraId="14AD10CA" w14:textId="77777777" w:rsidR="00E657BE" w:rsidRPr="00E31524" w:rsidRDefault="00E657BE" w:rsidP="00484979">
            <w:pPr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Électrolytes</w:t>
            </w:r>
          </w:p>
          <w:p w14:paraId="4E69CF4D" w14:textId="77777777" w:rsidR="001A3014" w:rsidRPr="00E31524" w:rsidRDefault="00DC40B3" w:rsidP="00E657BE">
            <w:pPr>
              <w:ind w:left="284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M</w:t>
            </w:r>
            <w:r w:rsidR="00E657BE" w:rsidRPr="00E31524">
              <w:rPr>
                <w:sz w:val="16"/>
                <w:szCs w:val="16"/>
              </w:rPr>
              <w:t>agnésium</w:t>
            </w:r>
            <w:r w:rsidRPr="00E31524">
              <w:rPr>
                <w:sz w:val="16"/>
                <w:szCs w:val="16"/>
              </w:rPr>
              <w:t xml:space="preserve"> (particulièrement si </w:t>
            </w:r>
            <w:r w:rsidR="00F04520" w:rsidRPr="00E31524">
              <w:rPr>
                <w:sz w:val="16"/>
                <w:szCs w:val="16"/>
              </w:rPr>
              <w:t>doses répétées et insuffisance rénale</w:t>
            </w:r>
          </w:p>
          <w:p w14:paraId="4C42A679" w14:textId="77777777" w:rsidR="00DC40B3" w:rsidRPr="00E31524" w:rsidRDefault="001A3014" w:rsidP="00E657BE">
            <w:pPr>
              <w:ind w:left="284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C</w:t>
            </w:r>
            <w:r w:rsidR="00E657BE" w:rsidRPr="00E31524">
              <w:rPr>
                <w:sz w:val="16"/>
                <w:szCs w:val="16"/>
              </w:rPr>
              <w:t>alcium, potassium</w:t>
            </w:r>
          </w:p>
          <w:p w14:paraId="33F94035" w14:textId="77777777" w:rsidR="00DC40B3" w:rsidRPr="00E31524" w:rsidRDefault="0011230A" w:rsidP="00484979">
            <w:pPr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F</w:t>
            </w:r>
            <w:r w:rsidR="001A3014" w:rsidRPr="00E31524">
              <w:rPr>
                <w:sz w:val="16"/>
                <w:szCs w:val="16"/>
              </w:rPr>
              <w:t>on</w:t>
            </w:r>
            <w:r w:rsidRPr="00E31524">
              <w:rPr>
                <w:sz w:val="16"/>
                <w:szCs w:val="16"/>
              </w:rPr>
              <w:t>ction rénale</w:t>
            </w:r>
            <w:r w:rsidR="00A55926" w:rsidRPr="00E31524">
              <w:rPr>
                <w:sz w:val="16"/>
                <w:szCs w:val="16"/>
              </w:rPr>
              <w:t xml:space="preserve"> (Cr)</w:t>
            </w:r>
            <w:r w:rsidR="00D62135" w:rsidRPr="00E31524">
              <w:rPr>
                <w:sz w:val="16"/>
                <w:szCs w:val="16"/>
              </w:rPr>
              <w:t>, diurèse</w:t>
            </w:r>
          </w:p>
          <w:p w14:paraId="7C20F955" w14:textId="77777777" w:rsidR="001A3014" w:rsidRPr="00E31524" w:rsidRDefault="001A3014" w:rsidP="00484979">
            <w:pPr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 xml:space="preserve">État d’éveil </w:t>
            </w:r>
          </w:p>
          <w:p w14:paraId="180A280B" w14:textId="77777777" w:rsidR="00774376" w:rsidRPr="00E31524" w:rsidRDefault="00860722" w:rsidP="00484979">
            <w:pPr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Site d’injection</w:t>
            </w:r>
          </w:p>
          <w:p w14:paraId="58AEF2B4" w14:textId="28A9D1B6" w:rsidR="00E657BE" w:rsidRPr="00E31524" w:rsidRDefault="00860722" w:rsidP="0033091B">
            <w:pPr>
              <w:ind w:left="284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Si extravasation, se référer à la fiche « Extravasation</w:t>
            </w:r>
            <w:r w:rsidR="00DA2693">
              <w:rPr>
                <w:sz w:val="16"/>
                <w:szCs w:val="16"/>
              </w:rPr>
              <w:t xml:space="preserve"> des médicaments non cytotoxiques</w:t>
            </w:r>
            <w:r w:rsidRPr="00E31524">
              <w:rPr>
                <w:sz w:val="16"/>
                <w:szCs w:val="16"/>
              </w:rPr>
              <w:t> » pour les mesures à</w:t>
            </w:r>
            <w:r w:rsidRPr="00E31524">
              <w:rPr>
                <w:b/>
                <w:sz w:val="16"/>
                <w:szCs w:val="16"/>
              </w:rPr>
              <w:t xml:space="preserve"> </w:t>
            </w:r>
            <w:r w:rsidRPr="00E31524">
              <w:rPr>
                <w:sz w:val="16"/>
                <w:szCs w:val="16"/>
              </w:rPr>
              <w:t xml:space="preserve">prendre </w:t>
            </w:r>
          </w:p>
          <w:p w14:paraId="4AA1D2E2" w14:textId="77777777" w:rsidR="00E657BE" w:rsidRPr="00E31524" w:rsidRDefault="00E657BE" w:rsidP="00E657BE">
            <w:pPr>
              <w:jc w:val="left"/>
              <w:rPr>
                <w:color w:val="7030A0"/>
                <w:sz w:val="16"/>
                <w:szCs w:val="16"/>
              </w:rPr>
            </w:pPr>
            <w:r w:rsidRPr="00E31524">
              <w:rPr>
                <w:b/>
                <w:sz w:val="16"/>
                <w:szCs w:val="16"/>
                <w:u w:val="single"/>
              </w:rPr>
              <w:t>Précautions</w:t>
            </w:r>
            <w:r w:rsidRPr="00E31524">
              <w:rPr>
                <w:color w:val="7030A0"/>
                <w:sz w:val="16"/>
                <w:szCs w:val="16"/>
              </w:rPr>
              <w:t xml:space="preserve"> </w:t>
            </w:r>
          </w:p>
          <w:p w14:paraId="3D240CBB" w14:textId="77777777" w:rsidR="00E657BE" w:rsidRPr="00E31524" w:rsidRDefault="00E657BE" w:rsidP="0033091B">
            <w:pPr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En cas de déficit conjoint de magnésium et de potassium, la magnésémie doit être corrigée pour faciliter la correction de l’hypokaliémie.</w:t>
            </w:r>
          </w:p>
        </w:tc>
        <w:tc>
          <w:tcPr>
            <w:tcW w:w="6613" w:type="dxa"/>
          </w:tcPr>
          <w:p w14:paraId="2B09399A" w14:textId="77777777" w:rsidR="00E657BE" w:rsidRPr="00E31524" w:rsidRDefault="00E657BE" w:rsidP="00E657BE">
            <w:pPr>
              <w:spacing w:before="0" w:after="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 xml:space="preserve">Vasodilatation, bouffées vasomotrices, </w:t>
            </w:r>
            <w:r w:rsidR="00AF54D5" w:rsidRPr="00E31524">
              <w:rPr>
                <w:sz w:val="16"/>
                <w:szCs w:val="16"/>
              </w:rPr>
              <w:t>sudation</w:t>
            </w:r>
            <w:r w:rsidRPr="00E31524">
              <w:rPr>
                <w:sz w:val="16"/>
                <w:szCs w:val="16"/>
              </w:rPr>
              <w:t xml:space="preserve">, hypotension </w:t>
            </w:r>
          </w:p>
          <w:p w14:paraId="1BF3905B" w14:textId="77777777" w:rsidR="00DE0053" w:rsidRPr="00E31524" w:rsidRDefault="00DE0053" w:rsidP="00E657BE">
            <w:pPr>
              <w:spacing w:before="0" w:after="0"/>
              <w:ind w:left="284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Souvent reliés à l’administration trop rapide</w:t>
            </w:r>
          </w:p>
          <w:p w14:paraId="69F5AA81" w14:textId="77777777" w:rsidR="00DE0053" w:rsidRPr="00E31524" w:rsidRDefault="00DE0053" w:rsidP="00DE0053">
            <w:pPr>
              <w:spacing w:before="0" w:after="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Diminution des réflexes, faiblesse musculaire</w:t>
            </w:r>
          </w:p>
          <w:p w14:paraId="109B0097" w14:textId="77777777" w:rsidR="00DE0053" w:rsidRPr="00E31524" w:rsidRDefault="00DE0053" w:rsidP="00DE0053">
            <w:pPr>
              <w:spacing w:before="0" w:after="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Palpitations</w:t>
            </w:r>
          </w:p>
          <w:p w14:paraId="25725FA6" w14:textId="77777777" w:rsidR="00DE0053" w:rsidRPr="00E31524" w:rsidRDefault="00DE0053" w:rsidP="00DE0053">
            <w:pPr>
              <w:spacing w:before="0" w:after="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Céphalée</w:t>
            </w:r>
          </w:p>
          <w:p w14:paraId="2FCC1F06" w14:textId="77777777" w:rsidR="00DE0053" w:rsidRPr="00E31524" w:rsidRDefault="00DE0053" w:rsidP="00DE0053">
            <w:pPr>
              <w:spacing w:before="0" w:after="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Hypothermie</w:t>
            </w:r>
          </w:p>
          <w:p w14:paraId="44CEFA1A" w14:textId="77777777" w:rsidR="00DE0053" w:rsidRPr="00E31524" w:rsidRDefault="00DE0053" w:rsidP="00DE0053">
            <w:pPr>
              <w:spacing w:before="0" w:after="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Diarrhée</w:t>
            </w:r>
            <w:r w:rsidR="001A3014" w:rsidRPr="00E31524">
              <w:rPr>
                <w:sz w:val="16"/>
                <w:szCs w:val="16"/>
              </w:rPr>
              <w:t>s</w:t>
            </w:r>
          </w:p>
          <w:p w14:paraId="535D97E1" w14:textId="77777777" w:rsidR="0011230A" w:rsidRPr="00E31524" w:rsidRDefault="00DE0053" w:rsidP="0011230A">
            <w:pPr>
              <w:spacing w:before="0" w:after="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Goût métallique</w:t>
            </w:r>
            <w:r w:rsidR="0011230A" w:rsidRPr="00E31524">
              <w:rPr>
                <w:sz w:val="16"/>
                <w:szCs w:val="16"/>
              </w:rPr>
              <w:t>,</w:t>
            </w:r>
            <w:r w:rsidRPr="00E31524">
              <w:rPr>
                <w:sz w:val="16"/>
                <w:szCs w:val="16"/>
              </w:rPr>
              <w:t xml:space="preserve"> nausé</w:t>
            </w:r>
            <w:r w:rsidR="008A4A95" w:rsidRPr="00E31524">
              <w:rPr>
                <w:sz w:val="16"/>
                <w:szCs w:val="16"/>
              </w:rPr>
              <w:t xml:space="preserve">es, </w:t>
            </w:r>
            <w:r w:rsidRPr="00E31524">
              <w:rPr>
                <w:sz w:val="16"/>
                <w:szCs w:val="16"/>
              </w:rPr>
              <w:t>vomissement</w:t>
            </w:r>
            <w:r w:rsidR="008A4A95" w:rsidRPr="00E31524">
              <w:rPr>
                <w:sz w:val="16"/>
                <w:szCs w:val="16"/>
              </w:rPr>
              <w:t>s</w:t>
            </w:r>
            <w:r w:rsidR="0011230A" w:rsidRPr="00E31524">
              <w:rPr>
                <w:sz w:val="16"/>
                <w:szCs w:val="16"/>
              </w:rPr>
              <w:t xml:space="preserve"> </w:t>
            </w:r>
          </w:p>
          <w:p w14:paraId="489863CF" w14:textId="77777777" w:rsidR="0011230A" w:rsidRPr="00E31524" w:rsidRDefault="0011230A" w:rsidP="0011230A">
            <w:pPr>
              <w:spacing w:before="0" w:after="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Hypermagnésémie, hyperkaliémie, hypocalcémie</w:t>
            </w:r>
          </w:p>
          <w:p w14:paraId="1939EA92" w14:textId="77777777" w:rsidR="008A4A95" w:rsidRPr="00E31524" w:rsidRDefault="008A4A95" w:rsidP="008A4A95">
            <w:pPr>
              <w:spacing w:before="0" w:after="0"/>
              <w:ind w:left="360" w:hanging="360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Irritation veineuse</w:t>
            </w:r>
          </w:p>
          <w:p w14:paraId="5DE8ABDE" w14:textId="77777777" w:rsidR="0011230A" w:rsidRPr="00E31524" w:rsidRDefault="0011230A" w:rsidP="0011230A">
            <w:pPr>
              <w:spacing w:before="0"/>
              <w:rPr>
                <w:sz w:val="16"/>
                <w:szCs w:val="16"/>
              </w:rPr>
            </w:pPr>
          </w:p>
          <w:p w14:paraId="421652C4" w14:textId="77777777" w:rsidR="00542BE3" w:rsidRPr="00E31524" w:rsidRDefault="00542BE3" w:rsidP="00DE0053">
            <w:pPr>
              <w:spacing w:after="0"/>
              <w:ind w:left="360" w:hanging="360"/>
              <w:jc w:val="left"/>
              <w:rPr>
                <w:color w:val="0070C0"/>
                <w:sz w:val="16"/>
                <w:szCs w:val="16"/>
              </w:rPr>
            </w:pPr>
            <w:r w:rsidRPr="00E31524">
              <w:rPr>
                <w:b/>
                <w:sz w:val="16"/>
                <w:szCs w:val="16"/>
                <w:u w:val="single"/>
              </w:rPr>
              <w:t>Signes d’intoxication</w:t>
            </w:r>
            <w:r w:rsidRPr="00E31524">
              <w:rPr>
                <w:b/>
                <w:sz w:val="16"/>
                <w:szCs w:val="16"/>
              </w:rPr>
              <w:t xml:space="preserve"> </w:t>
            </w:r>
            <w:r w:rsidRPr="00E31524">
              <w:rPr>
                <w:sz w:val="16"/>
                <w:szCs w:val="16"/>
              </w:rPr>
              <w:t xml:space="preserve">: </w:t>
            </w:r>
          </w:p>
          <w:p w14:paraId="6D72115A" w14:textId="77777777" w:rsidR="00DE0053" w:rsidRPr="00E31524" w:rsidRDefault="00DE0053" w:rsidP="00DE0053">
            <w:pPr>
              <w:spacing w:before="0" w:after="0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Diminution des réflexes ostéotendineux,</w:t>
            </w:r>
            <w:r w:rsidR="008A4A95" w:rsidRPr="00E31524">
              <w:rPr>
                <w:sz w:val="16"/>
                <w:szCs w:val="16"/>
              </w:rPr>
              <w:t xml:space="preserve"> </w:t>
            </w:r>
            <w:r w:rsidRPr="00E31524">
              <w:rPr>
                <w:sz w:val="16"/>
                <w:szCs w:val="16"/>
              </w:rPr>
              <w:t xml:space="preserve">hypotonie, paralysie, faiblesse  </w:t>
            </w:r>
          </w:p>
          <w:p w14:paraId="4C1095F7" w14:textId="77777777" w:rsidR="00DE0053" w:rsidRPr="00E31524" w:rsidRDefault="008A4A95" w:rsidP="00DE0053">
            <w:pPr>
              <w:spacing w:before="0" w:after="0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P</w:t>
            </w:r>
            <w:r w:rsidR="00DE0053" w:rsidRPr="00E31524">
              <w:rPr>
                <w:sz w:val="16"/>
                <w:szCs w:val="16"/>
              </w:rPr>
              <w:t>aralysie, arrêt respiratoire</w:t>
            </w:r>
          </w:p>
          <w:p w14:paraId="335610B4" w14:textId="73417E83" w:rsidR="00542BE3" w:rsidRPr="00E31524" w:rsidRDefault="008A4A95" w:rsidP="000D54B0">
            <w:pPr>
              <w:spacing w:before="0" w:after="0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B</w:t>
            </w:r>
            <w:r w:rsidR="000D54B0" w:rsidRPr="00E31524">
              <w:rPr>
                <w:sz w:val="16"/>
                <w:szCs w:val="16"/>
              </w:rPr>
              <w:t xml:space="preserve">loc AV, </w:t>
            </w:r>
            <w:r w:rsidR="00542BE3" w:rsidRPr="00E31524">
              <w:rPr>
                <w:sz w:val="16"/>
                <w:szCs w:val="16"/>
              </w:rPr>
              <w:t>bradycardie</w:t>
            </w:r>
            <w:r w:rsidR="000D54B0" w:rsidRPr="00E31524">
              <w:rPr>
                <w:sz w:val="16"/>
                <w:szCs w:val="16"/>
              </w:rPr>
              <w:t>,</w:t>
            </w:r>
            <w:r w:rsidR="00FF231A">
              <w:rPr>
                <w:sz w:val="16"/>
                <w:szCs w:val="16"/>
              </w:rPr>
              <w:t xml:space="preserve"> arrêt cardiaque, hypotension, </w:t>
            </w:r>
            <w:r w:rsidR="000D54B0" w:rsidRPr="00E31524">
              <w:rPr>
                <w:sz w:val="16"/>
                <w:szCs w:val="16"/>
              </w:rPr>
              <w:t>allongement PR, élargissement QRS, allongement QT, choc</w:t>
            </w:r>
            <w:r w:rsidR="00542BE3" w:rsidRPr="00E31524">
              <w:rPr>
                <w:sz w:val="16"/>
                <w:szCs w:val="16"/>
              </w:rPr>
              <w:t xml:space="preserve"> </w:t>
            </w:r>
          </w:p>
          <w:p w14:paraId="07CB996B" w14:textId="77777777" w:rsidR="000D54B0" w:rsidRPr="00E31524" w:rsidRDefault="008A4A95" w:rsidP="000D54B0">
            <w:pPr>
              <w:spacing w:before="0" w:after="0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D</w:t>
            </w:r>
            <w:r w:rsidR="00DC40B3" w:rsidRPr="00E31524">
              <w:rPr>
                <w:sz w:val="16"/>
                <w:szCs w:val="16"/>
              </w:rPr>
              <w:t>épression SNC</w:t>
            </w:r>
            <w:r w:rsidR="000D54B0" w:rsidRPr="00E31524">
              <w:rPr>
                <w:sz w:val="16"/>
                <w:szCs w:val="16"/>
              </w:rPr>
              <w:t>,</w:t>
            </w:r>
            <w:r w:rsidR="00DC40B3" w:rsidRPr="00E31524">
              <w:rPr>
                <w:sz w:val="16"/>
                <w:szCs w:val="16"/>
              </w:rPr>
              <w:t xml:space="preserve"> somnolen</w:t>
            </w:r>
            <w:r w:rsidR="000D54B0" w:rsidRPr="00E31524">
              <w:rPr>
                <w:sz w:val="16"/>
                <w:szCs w:val="16"/>
              </w:rPr>
              <w:t>ce</w:t>
            </w:r>
            <w:r w:rsidR="00DC40B3" w:rsidRPr="00E31524">
              <w:rPr>
                <w:sz w:val="16"/>
                <w:szCs w:val="16"/>
              </w:rPr>
              <w:t>,</w:t>
            </w:r>
            <w:r w:rsidR="000D54B0" w:rsidRPr="00E31524">
              <w:rPr>
                <w:sz w:val="16"/>
                <w:szCs w:val="16"/>
              </w:rPr>
              <w:t xml:space="preserve"> léthargie</w:t>
            </w:r>
            <w:r w:rsidR="00DC40B3" w:rsidRPr="00E31524">
              <w:rPr>
                <w:sz w:val="16"/>
                <w:szCs w:val="16"/>
              </w:rPr>
              <w:t>,</w:t>
            </w:r>
            <w:r w:rsidR="000D54B0" w:rsidRPr="00E31524">
              <w:rPr>
                <w:sz w:val="16"/>
                <w:szCs w:val="16"/>
              </w:rPr>
              <w:t xml:space="preserve"> hypotonie</w:t>
            </w:r>
            <w:r w:rsidR="00DC40B3" w:rsidRPr="00E31524">
              <w:rPr>
                <w:sz w:val="16"/>
                <w:szCs w:val="16"/>
              </w:rPr>
              <w:t xml:space="preserve">, </w:t>
            </w:r>
            <w:r w:rsidR="00F04520" w:rsidRPr="00E31524">
              <w:rPr>
                <w:sz w:val="16"/>
                <w:szCs w:val="16"/>
              </w:rPr>
              <w:t>confusion,</w:t>
            </w:r>
            <w:r w:rsidR="0011230A" w:rsidRPr="00E31524">
              <w:rPr>
                <w:sz w:val="16"/>
                <w:szCs w:val="16"/>
              </w:rPr>
              <w:t xml:space="preserve"> </w:t>
            </w:r>
            <w:r w:rsidR="00DC40B3" w:rsidRPr="00E31524">
              <w:rPr>
                <w:sz w:val="16"/>
                <w:szCs w:val="16"/>
              </w:rPr>
              <w:t>coma</w:t>
            </w:r>
          </w:p>
          <w:p w14:paraId="28C9510D" w14:textId="77777777" w:rsidR="00484979" w:rsidRPr="00E31524" w:rsidRDefault="008A4A95" w:rsidP="000D54B0">
            <w:pPr>
              <w:spacing w:before="0" w:after="0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H</w:t>
            </w:r>
            <w:r w:rsidR="00484979" w:rsidRPr="00E31524">
              <w:rPr>
                <w:sz w:val="16"/>
                <w:szCs w:val="16"/>
              </w:rPr>
              <w:t>ypocalcémie</w:t>
            </w:r>
          </w:p>
          <w:p w14:paraId="4E371585" w14:textId="77777777" w:rsidR="0054416D" w:rsidRPr="00E31524" w:rsidRDefault="00DC40B3" w:rsidP="00B446B5">
            <w:pPr>
              <w:spacing w:before="0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>Diaphorèse</w:t>
            </w:r>
          </w:p>
          <w:p w14:paraId="32417931" w14:textId="77777777" w:rsidR="00860722" w:rsidRPr="00E31524" w:rsidRDefault="00860722" w:rsidP="00B446B5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14D31988" w14:textId="77777777" w:rsidR="008A4A95" w:rsidRPr="00E31524" w:rsidRDefault="00542BE3" w:rsidP="00B446B5">
            <w:pPr>
              <w:ind w:left="360" w:hanging="360"/>
              <w:jc w:val="left"/>
              <w:rPr>
                <w:sz w:val="16"/>
                <w:szCs w:val="16"/>
              </w:rPr>
            </w:pPr>
            <w:r w:rsidRPr="00E31524">
              <w:rPr>
                <w:b/>
                <w:sz w:val="16"/>
                <w:szCs w:val="16"/>
                <w:u w:val="single"/>
              </w:rPr>
              <w:t>Antidote</w:t>
            </w:r>
            <w:r w:rsidRPr="00E31524">
              <w:rPr>
                <w:b/>
                <w:sz w:val="16"/>
                <w:szCs w:val="16"/>
              </w:rPr>
              <w:t> </w:t>
            </w:r>
            <w:r w:rsidRPr="00E31524">
              <w:rPr>
                <w:sz w:val="16"/>
                <w:szCs w:val="16"/>
              </w:rPr>
              <w:t xml:space="preserve">: </w:t>
            </w:r>
          </w:p>
          <w:p w14:paraId="018729E3" w14:textId="77777777" w:rsidR="00363019" w:rsidRPr="00E31524" w:rsidRDefault="00043EFB" w:rsidP="00B446B5">
            <w:pPr>
              <w:ind w:left="360" w:hanging="360"/>
              <w:jc w:val="left"/>
              <w:rPr>
                <w:sz w:val="16"/>
                <w:szCs w:val="16"/>
              </w:rPr>
            </w:pPr>
            <w:r w:rsidRPr="00E31524">
              <w:rPr>
                <w:sz w:val="16"/>
                <w:szCs w:val="16"/>
              </w:rPr>
              <w:t xml:space="preserve">Chlorure ou </w:t>
            </w:r>
            <w:r w:rsidR="003E419A" w:rsidRPr="00E31524">
              <w:rPr>
                <w:sz w:val="16"/>
                <w:szCs w:val="16"/>
              </w:rPr>
              <w:t>g</w:t>
            </w:r>
            <w:r w:rsidR="001C0B88" w:rsidRPr="00E31524">
              <w:rPr>
                <w:sz w:val="16"/>
                <w:szCs w:val="16"/>
              </w:rPr>
              <w:t>luconate de calcium</w:t>
            </w:r>
          </w:p>
          <w:p w14:paraId="395E94C6" w14:textId="77777777" w:rsidR="00860722" w:rsidRPr="00E31524" w:rsidRDefault="00860722" w:rsidP="009342CF">
            <w:pPr>
              <w:jc w:val="left"/>
              <w:rPr>
                <w:sz w:val="16"/>
                <w:szCs w:val="16"/>
              </w:rPr>
            </w:pPr>
          </w:p>
        </w:tc>
      </w:tr>
    </w:tbl>
    <w:p w14:paraId="13CFA87B" w14:textId="77777777" w:rsidR="00D1037D" w:rsidRPr="00875AFE" w:rsidRDefault="00D1037D" w:rsidP="00B446B5">
      <w:pPr>
        <w:tabs>
          <w:tab w:val="left" w:pos="3796"/>
        </w:tabs>
        <w:rPr>
          <w:rFonts w:cstheme="minorHAnsi"/>
        </w:rPr>
      </w:pPr>
    </w:p>
    <w:sectPr w:rsidR="00D1037D" w:rsidRPr="00875AFE" w:rsidSect="006D1C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E3FA5" w14:textId="77777777" w:rsidR="00542BE3" w:rsidRDefault="00542BE3" w:rsidP="008F3D94">
      <w:pPr>
        <w:spacing w:after="0" w:line="240" w:lineRule="auto"/>
      </w:pPr>
      <w:r>
        <w:separator/>
      </w:r>
    </w:p>
  </w:endnote>
  <w:endnote w:type="continuationSeparator" w:id="0">
    <w:p w14:paraId="4E3C750E" w14:textId="77777777" w:rsidR="00542BE3" w:rsidRDefault="00542BE3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571FB" w14:textId="77777777" w:rsidR="00FF7AEC" w:rsidRDefault="00FF7AE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8A51" w14:textId="0E7E3090"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084623">
      <w:rPr>
        <w:b/>
        <w:noProof/>
      </w:rPr>
      <w:t>2024-12-19 13:54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FF231A" w:rsidRPr="00FF231A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FF231A" w:rsidRPr="00FF231A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F54D6" w14:textId="77777777" w:rsidR="00FF7AEC" w:rsidRDefault="00FF7A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A0C15" w14:textId="77777777" w:rsidR="00542BE3" w:rsidRDefault="00542BE3" w:rsidP="008F3D94">
      <w:pPr>
        <w:spacing w:after="0" w:line="240" w:lineRule="auto"/>
      </w:pPr>
      <w:r>
        <w:separator/>
      </w:r>
    </w:p>
  </w:footnote>
  <w:footnote w:type="continuationSeparator" w:id="0">
    <w:p w14:paraId="076E346F" w14:textId="77777777" w:rsidR="00542BE3" w:rsidRDefault="00542BE3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3DC5F" w14:textId="77777777" w:rsidR="00664B42" w:rsidRDefault="00FF231A">
    <w:pPr>
      <w:pStyle w:val="En-tte"/>
    </w:pPr>
    <w:r>
      <w:rPr>
        <w:noProof/>
      </w:rPr>
      <w:pict w14:anchorId="655A18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5353"/>
      <w:gridCol w:w="3994"/>
      <w:gridCol w:w="3753"/>
      <w:gridCol w:w="76"/>
    </w:tblGrid>
    <w:tr w:rsidR="00664B42" w:rsidRPr="00A426B2" w14:paraId="0D7817ED" w14:textId="77777777" w:rsidTr="0033091B">
      <w:trPr>
        <w:gridBefore w:val="1"/>
        <w:wBefore w:w="5353" w:type="dxa"/>
      </w:trPr>
      <w:tc>
        <w:tcPr>
          <w:tcW w:w="7823" w:type="dxa"/>
          <w:gridSpan w:val="3"/>
        </w:tcPr>
        <w:p w14:paraId="28B39F9D" w14:textId="2B4CEB0B" w:rsidR="00664B42" w:rsidRDefault="007426F5" w:rsidP="001A3014">
          <w:pPr>
            <w:tabs>
              <w:tab w:val="left" w:pos="11258"/>
            </w:tabs>
            <w:ind w:left="284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55680" behindDoc="0" locked="0" layoutInCell="1" allowOverlap="1" wp14:anchorId="198DB1D4" wp14:editId="7D5AF97E">
                <wp:simplePos x="0" y="0"/>
                <wp:positionH relativeFrom="column">
                  <wp:posOffset>-246380</wp:posOffset>
                </wp:positionH>
                <wp:positionV relativeFrom="paragraph">
                  <wp:posOffset>-122555</wp:posOffset>
                </wp:positionV>
                <wp:extent cx="351149" cy="351183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149" cy="35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4B4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14:paraId="0DFF1292" w14:textId="77777777" w:rsidR="00664B42" w:rsidRPr="00A426B2" w:rsidRDefault="001C0B88" w:rsidP="001A3014">
          <w:pPr>
            <w:ind w:left="284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 w:rsidRPr="001C0B88">
            <w:rPr>
              <w:rFonts w:ascii="Arial Narrow" w:hAnsi="Arial Narrow"/>
              <w:b/>
              <w:smallCaps/>
              <w:sz w:val="21"/>
              <w:szCs w:val="21"/>
            </w:rPr>
            <w:t xml:space="preserve">Monitorage </w:t>
          </w:r>
          <w:r w:rsidR="009342CF">
            <w:rPr>
              <w:rFonts w:ascii="Arial Narrow" w:hAnsi="Arial Narrow"/>
              <w:b/>
              <w:smallCaps/>
              <w:sz w:val="21"/>
              <w:szCs w:val="21"/>
            </w:rPr>
            <w:t xml:space="preserve">cardiaque </w:t>
          </w:r>
          <w:r w:rsidRPr="001C0B88">
            <w:rPr>
              <w:rFonts w:ascii="Arial Narrow" w:hAnsi="Arial Narrow"/>
              <w:b/>
              <w:smallCaps/>
              <w:sz w:val="21"/>
              <w:szCs w:val="21"/>
            </w:rPr>
            <w:t xml:space="preserve">continu </w:t>
          </w:r>
          <w:r w:rsidR="009342CF">
            <w:rPr>
              <w:rFonts w:ascii="Arial Narrow" w:hAnsi="Arial Narrow"/>
              <w:b/>
              <w:smallCaps/>
              <w:sz w:val="21"/>
              <w:szCs w:val="21"/>
            </w:rPr>
            <w:t>(</w:t>
          </w:r>
          <w:r w:rsidRPr="001C0B88">
            <w:rPr>
              <w:rFonts w:ascii="Arial Narrow" w:hAnsi="Arial Narrow"/>
              <w:b/>
              <w:smallCaps/>
              <w:sz w:val="21"/>
              <w:szCs w:val="21"/>
            </w:rPr>
            <w:t>ECG et TA</w:t>
          </w:r>
          <w:r w:rsidR="009342CF">
            <w:rPr>
              <w:rFonts w:ascii="Arial Narrow" w:hAnsi="Arial Narrow"/>
              <w:b/>
              <w:smallCaps/>
              <w:sz w:val="21"/>
              <w:szCs w:val="21"/>
            </w:rPr>
            <w:t>)</w:t>
          </w:r>
          <w:r w:rsidRPr="001C0B88">
            <w:rPr>
              <w:rFonts w:ascii="Arial Narrow" w:hAnsi="Arial Narrow"/>
              <w:b/>
              <w:smallCaps/>
              <w:sz w:val="21"/>
              <w:szCs w:val="21"/>
            </w:rPr>
            <w:t xml:space="preserve"> </w: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lorsqu’utilisé dans les</w:t>
          </w:r>
          <w:r w:rsidR="001A3014">
            <w:rPr>
              <w:rFonts w:ascii="Arial Narrow" w:hAnsi="Arial Narrow"/>
              <w:b/>
              <w:smallCaps/>
              <w:sz w:val="21"/>
              <w:szCs w:val="21"/>
            </w:rPr>
            <w:t xml:space="preserve"> </w:t>
          </w:r>
          <w:r w:rsidRPr="001C0B88">
            <w:rPr>
              <w:rFonts w:ascii="Arial Narrow" w:hAnsi="Arial Narrow"/>
              <w:b/>
              <w:smallCaps/>
              <w:sz w:val="21"/>
              <w:szCs w:val="21"/>
            </w:rPr>
            <w:t>cas d’arythmies</w:t>
          </w:r>
          <w:r w:rsidR="001A3014">
            <w:rPr>
              <w:rFonts w:ascii="Arial Narrow" w:hAnsi="Arial Narrow"/>
              <w:b/>
              <w:smallCaps/>
              <w:sz w:val="21"/>
              <w:szCs w:val="21"/>
            </w:rPr>
            <w:t>,</w:t>
          </w:r>
          <w:r w:rsidRPr="001C0B88">
            <w:rPr>
              <w:rFonts w:ascii="Arial Narrow" w:hAnsi="Arial Narrow"/>
              <w:b/>
              <w:smallCaps/>
              <w:sz w:val="21"/>
              <w:szCs w:val="21"/>
            </w:rPr>
            <w:t xml:space="preserve"> d’arrêt </w:t>
          </w:r>
          <w:r w:rsidRPr="00A36B2C">
            <w:rPr>
              <w:rFonts w:ascii="Arial Narrow" w:hAnsi="Arial Narrow"/>
              <w:b/>
              <w:smallCaps/>
              <w:sz w:val="21"/>
              <w:szCs w:val="21"/>
            </w:rPr>
            <w:t>cardiaque</w:t>
          </w:r>
          <w:r w:rsidR="0033091B">
            <w:rPr>
              <w:rFonts w:ascii="Arial Narrow" w:hAnsi="Arial Narrow"/>
              <w:b/>
              <w:smallCaps/>
              <w:sz w:val="21"/>
              <w:szCs w:val="21"/>
            </w:rPr>
            <w:t xml:space="preserve">, de crise d’asthme sévère </w:t>
          </w:r>
          <w:r w:rsidR="001A3014" w:rsidRPr="00A36B2C">
            <w:rPr>
              <w:rFonts w:ascii="Arial Narrow" w:hAnsi="Arial Narrow"/>
              <w:b/>
              <w:smallCaps/>
              <w:sz w:val="21"/>
              <w:szCs w:val="21"/>
            </w:rPr>
            <w:t>ou d’hypomagnésémie symptomatique sévère</w:t>
          </w:r>
        </w:p>
      </w:tc>
    </w:tr>
    <w:tr w:rsidR="00875AFE" w14:paraId="1ED1F901" w14:textId="77777777" w:rsidTr="00F46613">
      <w:trPr>
        <w:gridAfter w:val="1"/>
        <w:wAfter w:w="76" w:type="dxa"/>
        <w:trHeight w:val="454"/>
      </w:trPr>
      <w:tc>
        <w:tcPr>
          <w:tcW w:w="934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33A8B01" w14:textId="40E1D099" w:rsidR="00875AFE" w:rsidRPr="00875AFE" w:rsidRDefault="007426F5" w:rsidP="00542BE3">
          <w:pPr>
            <w:spacing w:after="0"/>
            <w:jc w:val="left"/>
            <w:rPr>
              <w:b/>
              <w:color w:val="339966"/>
              <w:sz w:val="32"/>
            </w:rPr>
          </w:pPr>
          <w:r>
            <w:rPr>
              <w:b/>
              <w:noProof/>
              <w:sz w:val="24"/>
              <w:lang w:eastAsia="fr-CA"/>
            </w:rPr>
            <w:drawing>
              <wp:anchor distT="0" distB="0" distL="114300" distR="114300" simplePos="0" relativeHeight="251660800" behindDoc="0" locked="0" layoutInCell="1" allowOverlap="1" wp14:anchorId="3FB19315" wp14:editId="69CAA027">
                <wp:simplePos x="0" y="0"/>
                <wp:positionH relativeFrom="column">
                  <wp:posOffset>2049145</wp:posOffset>
                </wp:positionH>
                <wp:positionV relativeFrom="paragraph">
                  <wp:posOffset>-860425</wp:posOffset>
                </wp:positionV>
                <wp:extent cx="919480" cy="945515"/>
                <wp:effectExtent l="0" t="0" r="0" b="6985"/>
                <wp:wrapNone/>
                <wp:docPr id="3" name="Image 3" descr="Q:\Cahier 12B (restaure)\Standardisation 12B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:\Cahier 12B (restaure)\Standardisation 12B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480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A3014"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FDBDABF" wp14:editId="4063A8AE">
                    <wp:simplePos x="0" y="0"/>
                    <wp:positionH relativeFrom="column">
                      <wp:posOffset>-342900</wp:posOffset>
                    </wp:positionH>
                    <wp:positionV relativeFrom="paragraph">
                      <wp:posOffset>-673100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A8A2570" w14:textId="77777777"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FDBDAB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-27pt;margin-top:-53pt;width:127.45pt;height: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" filled="f" stroked="f">
                    <v:textbox>
                      <w:txbxContent>
                        <w:p w14:paraId="6A8A2570" w14:textId="77777777"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657BE"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1824" behindDoc="0" locked="1" layoutInCell="1" allowOverlap="1" wp14:anchorId="4A4AE624" wp14:editId="12B1EA41">
                <wp:simplePos x="0" y="0"/>
                <wp:positionH relativeFrom="column">
                  <wp:posOffset>7924800</wp:posOffset>
                </wp:positionH>
                <wp:positionV relativeFrom="paragraph">
                  <wp:posOffset>-349250</wp:posOffset>
                </wp:positionV>
                <wp:extent cx="753110" cy="739775"/>
                <wp:effectExtent l="57150" t="95250" r="294640" b="2889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Style w:val="Style7"/>
              </w:rPr>
              <w:alias w:val="Nom du médicament"/>
              <w:tag w:val="Nom du médicament"/>
              <w:id w:val="-1865515121"/>
            </w:sdtPr>
            <w:sdtEndPr>
              <w:rPr>
                <w:rStyle w:val="Style7"/>
              </w:rPr>
            </w:sdtEndPr>
            <w:sdtContent>
              <w:r w:rsidR="00542BE3">
                <w:rPr>
                  <w:rStyle w:val="Style7"/>
                </w:rPr>
                <w:t>Magnésium (sulfate de)</w:t>
              </w:r>
            </w:sdtContent>
          </w:sdt>
        </w:p>
      </w:tc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CB358B" w14:textId="77777777" w:rsidR="00875AFE" w:rsidRPr="00701F50" w:rsidRDefault="00875AFE" w:rsidP="00501D76">
          <w:pPr>
            <w:spacing w:after="0"/>
            <w:jc w:val="left"/>
            <w:rPr>
              <w:b/>
              <w:sz w:val="24"/>
            </w:rPr>
          </w:pPr>
        </w:p>
      </w:tc>
    </w:tr>
  </w:tbl>
  <w:p w14:paraId="784A573A" w14:textId="77777777"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24"/>
      <w:gridCol w:w="4117"/>
      <w:gridCol w:w="261"/>
      <w:gridCol w:w="1512"/>
      <w:gridCol w:w="5762"/>
    </w:tblGrid>
    <w:tr w:rsidR="00891BD4" w:rsidRPr="00F46613" w14:paraId="57D8CB74" w14:textId="77777777" w:rsidTr="00E657BE">
      <w:trPr>
        <w:trHeight w:val="454"/>
      </w:trPr>
      <w:tc>
        <w:tcPr>
          <w:tcW w:w="154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01514B" w14:textId="77777777" w:rsidR="00891BD4" w:rsidRPr="00F46613" w:rsidRDefault="00891BD4" w:rsidP="00E474FF">
          <w:pPr>
            <w:spacing w:before="120" w:after="0"/>
            <w:jc w:val="left"/>
            <w:rPr>
              <w:color w:val="00B050"/>
              <w:sz w:val="20"/>
            </w:rPr>
          </w:pPr>
          <w:r w:rsidRPr="00F46613">
            <w:rPr>
              <w:b/>
              <w:sz w:val="20"/>
            </w:rPr>
            <w:t>INDICATION</w:t>
          </w:r>
          <w:r w:rsidR="00880B4E" w:rsidRPr="00F46613">
            <w:rPr>
              <w:b/>
              <w:sz w:val="20"/>
            </w:rPr>
            <w:t>S</w:t>
          </w:r>
          <w:r w:rsidRPr="00F46613">
            <w:rPr>
              <w:sz w:val="20"/>
            </w:rPr>
            <w:t> :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988296" w14:textId="77777777" w:rsidR="00DC41FC" w:rsidRPr="00F46613" w:rsidRDefault="00E657BE" w:rsidP="00E657BE">
          <w:pPr>
            <w:spacing w:before="0" w:after="0"/>
            <w:jc w:val="left"/>
            <w:rPr>
              <w:sz w:val="20"/>
            </w:rPr>
          </w:pPr>
          <w:r w:rsidRPr="00F46613">
            <w:rPr>
              <w:sz w:val="20"/>
            </w:rPr>
            <w:t>H</w:t>
          </w:r>
          <w:r w:rsidR="00DC41FC" w:rsidRPr="00F46613">
            <w:rPr>
              <w:sz w:val="20"/>
            </w:rPr>
            <w:t>ypomagnésémie</w:t>
          </w:r>
        </w:p>
        <w:p w14:paraId="3DD69440" w14:textId="77777777" w:rsidR="00542BE3" w:rsidRPr="00F46613" w:rsidRDefault="00E657BE" w:rsidP="00E657BE">
          <w:pPr>
            <w:spacing w:before="0" w:after="0"/>
            <w:jc w:val="left"/>
            <w:rPr>
              <w:sz w:val="20"/>
            </w:rPr>
          </w:pPr>
          <w:r w:rsidRPr="00F46613">
            <w:rPr>
              <w:sz w:val="20"/>
            </w:rPr>
            <w:t>A</w:t>
          </w:r>
          <w:r w:rsidR="00DC41FC" w:rsidRPr="00F46613">
            <w:rPr>
              <w:sz w:val="20"/>
            </w:rPr>
            <w:t>rythmies cardiaque</w:t>
          </w:r>
          <w:r w:rsidRPr="00F46613">
            <w:rPr>
              <w:sz w:val="20"/>
            </w:rPr>
            <w:t>s, A</w:t>
          </w:r>
          <w:r w:rsidR="00DC41FC" w:rsidRPr="00F46613">
            <w:rPr>
              <w:sz w:val="20"/>
            </w:rPr>
            <w:t>sthme réfractaire</w:t>
          </w:r>
        </w:p>
      </w:tc>
      <w:tc>
        <w:tcPr>
          <w:tcW w:w="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023A55" w14:textId="77777777" w:rsidR="00891BD4" w:rsidRPr="00F46613" w:rsidRDefault="00891BD4" w:rsidP="00E474FF">
          <w:pPr>
            <w:spacing w:before="120" w:after="0"/>
            <w:jc w:val="left"/>
            <w:rPr>
              <w:b/>
              <w:sz w:val="20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84BBFA" w14:textId="77777777" w:rsidR="00891BD4" w:rsidRPr="00F46613" w:rsidRDefault="00891BD4" w:rsidP="00E474FF">
          <w:pPr>
            <w:spacing w:before="120" w:after="0"/>
            <w:jc w:val="left"/>
            <w:rPr>
              <w:b/>
              <w:color w:val="00B050"/>
              <w:sz w:val="20"/>
            </w:rPr>
          </w:pPr>
          <w:r w:rsidRPr="00F46613">
            <w:rPr>
              <w:b/>
              <w:sz w:val="20"/>
            </w:rPr>
            <w:t>Classe thérapeutique</w:t>
          </w:r>
          <w:r w:rsidRPr="00F46613">
            <w:rPr>
              <w:sz w:val="20"/>
            </w:rPr>
            <w:t> :</w:t>
          </w:r>
        </w:p>
      </w:tc>
      <w:tc>
        <w:tcPr>
          <w:tcW w:w="648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B2C2B47" w14:textId="77777777" w:rsidR="00483B2F" w:rsidRPr="00F46613" w:rsidRDefault="00483B2F" w:rsidP="00E474FF">
          <w:pPr>
            <w:spacing w:before="120" w:after="0"/>
            <w:jc w:val="left"/>
            <w:rPr>
              <w:sz w:val="20"/>
            </w:rPr>
          </w:pPr>
        </w:p>
        <w:p w14:paraId="68852B3E" w14:textId="77777777" w:rsidR="00891BD4" w:rsidRPr="00F46613" w:rsidRDefault="00DC41FC" w:rsidP="00E474FF">
          <w:pPr>
            <w:spacing w:before="120" w:after="0"/>
            <w:jc w:val="left"/>
            <w:rPr>
              <w:sz w:val="20"/>
            </w:rPr>
          </w:pPr>
          <w:r w:rsidRPr="00F46613">
            <w:rPr>
              <w:sz w:val="20"/>
            </w:rPr>
            <w:t>É</w:t>
          </w:r>
          <w:r w:rsidR="00542BE3" w:rsidRPr="00F46613">
            <w:rPr>
              <w:sz w:val="20"/>
            </w:rPr>
            <w:t>lectrolyte, antiarythmique, anticonvulsivant</w:t>
          </w:r>
        </w:p>
      </w:tc>
    </w:tr>
  </w:tbl>
  <w:p w14:paraId="33020A7E" w14:textId="77777777"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B57FF" w14:textId="77777777" w:rsidR="00664B42" w:rsidRDefault="00FF231A">
    <w:pPr>
      <w:pStyle w:val="En-tte"/>
    </w:pPr>
    <w:r>
      <w:rPr>
        <w:noProof/>
      </w:rPr>
      <w:pict w14:anchorId="66CBBD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AD962E0"/>
    <w:multiLevelType w:val="hybridMultilevel"/>
    <w:tmpl w:val="4BDE152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250611"/>
    <w:multiLevelType w:val="hybridMultilevel"/>
    <w:tmpl w:val="50D447B8"/>
    <w:lvl w:ilvl="0" w:tplc="E5EC19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>
    <w:nsid w:val="3F196C18"/>
    <w:multiLevelType w:val="hybridMultilevel"/>
    <w:tmpl w:val="45C4CE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0BA4FEF"/>
    <w:multiLevelType w:val="hybridMultilevel"/>
    <w:tmpl w:val="6DB2A26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BE7053B"/>
    <w:multiLevelType w:val="hybridMultilevel"/>
    <w:tmpl w:val="72082072"/>
    <w:lvl w:ilvl="0" w:tplc="CE32D41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A46D1F"/>
    <w:multiLevelType w:val="hybridMultilevel"/>
    <w:tmpl w:val="423AFB84"/>
    <w:lvl w:ilvl="0" w:tplc="6308B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44"/>
  </w:num>
  <w:num w:numId="3">
    <w:abstractNumId w:val="83"/>
  </w:num>
  <w:num w:numId="4">
    <w:abstractNumId w:val="74"/>
  </w:num>
  <w:num w:numId="5">
    <w:abstractNumId w:val="23"/>
  </w:num>
  <w:num w:numId="6">
    <w:abstractNumId w:val="68"/>
  </w:num>
  <w:num w:numId="7">
    <w:abstractNumId w:val="62"/>
  </w:num>
  <w:num w:numId="8">
    <w:abstractNumId w:val="86"/>
  </w:num>
  <w:num w:numId="9">
    <w:abstractNumId w:val="77"/>
  </w:num>
  <w:num w:numId="10">
    <w:abstractNumId w:val="25"/>
  </w:num>
  <w:num w:numId="11">
    <w:abstractNumId w:val="2"/>
  </w:num>
  <w:num w:numId="12">
    <w:abstractNumId w:val="35"/>
  </w:num>
  <w:num w:numId="13">
    <w:abstractNumId w:val="75"/>
  </w:num>
  <w:num w:numId="14">
    <w:abstractNumId w:val="58"/>
  </w:num>
  <w:num w:numId="15">
    <w:abstractNumId w:val="49"/>
  </w:num>
  <w:num w:numId="16">
    <w:abstractNumId w:val="11"/>
  </w:num>
  <w:num w:numId="17">
    <w:abstractNumId w:val="70"/>
  </w:num>
  <w:num w:numId="18">
    <w:abstractNumId w:val="47"/>
  </w:num>
  <w:num w:numId="19">
    <w:abstractNumId w:val="19"/>
  </w:num>
  <w:num w:numId="20">
    <w:abstractNumId w:val="33"/>
  </w:num>
  <w:num w:numId="21">
    <w:abstractNumId w:val="17"/>
  </w:num>
  <w:num w:numId="22">
    <w:abstractNumId w:val="27"/>
  </w:num>
  <w:num w:numId="23">
    <w:abstractNumId w:val="43"/>
  </w:num>
  <w:num w:numId="24">
    <w:abstractNumId w:val="52"/>
  </w:num>
  <w:num w:numId="25">
    <w:abstractNumId w:val="30"/>
  </w:num>
  <w:num w:numId="26">
    <w:abstractNumId w:val="79"/>
  </w:num>
  <w:num w:numId="27">
    <w:abstractNumId w:val="42"/>
  </w:num>
  <w:num w:numId="28">
    <w:abstractNumId w:val="31"/>
  </w:num>
  <w:num w:numId="29">
    <w:abstractNumId w:val="14"/>
  </w:num>
  <w:num w:numId="30">
    <w:abstractNumId w:val="50"/>
  </w:num>
  <w:num w:numId="31">
    <w:abstractNumId w:val="69"/>
  </w:num>
  <w:num w:numId="32">
    <w:abstractNumId w:val="32"/>
  </w:num>
  <w:num w:numId="33">
    <w:abstractNumId w:val="57"/>
  </w:num>
  <w:num w:numId="34">
    <w:abstractNumId w:val="1"/>
  </w:num>
  <w:num w:numId="35">
    <w:abstractNumId w:val="29"/>
  </w:num>
  <w:num w:numId="36">
    <w:abstractNumId w:val="72"/>
  </w:num>
  <w:num w:numId="37">
    <w:abstractNumId w:val="84"/>
  </w:num>
  <w:num w:numId="38">
    <w:abstractNumId w:val="76"/>
  </w:num>
  <w:num w:numId="39">
    <w:abstractNumId w:val="0"/>
  </w:num>
  <w:num w:numId="40">
    <w:abstractNumId w:val="34"/>
  </w:num>
  <w:num w:numId="41">
    <w:abstractNumId w:val="37"/>
  </w:num>
  <w:num w:numId="42">
    <w:abstractNumId w:val="26"/>
  </w:num>
  <w:num w:numId="43">
    <w:abstractNumId w:val="41"/>
  </w:num>
  <w:num w:numId="44">
    <w:abstractNumId w:val="51"/>
  </w:num>
  <w:num w:numId="45">
    <w:abstractNumId w:val="65"/>
  </w:num>
  <w:num w:numId="46">
    <w:abstractNumId w:val="90"/>
  </w:num>
  <w:num w:numId="47">
    <w:abstractNumId w:val="87"/>
  </w:num>
  <w:num w:numId="48">
    <w:abstractNumId w:val="39"/>
  </w:num>
  <w:num w:numId="49">
    <w:abstractNumId w:val="80"/>
  </w:num>
  <w:num w:numId="50">
    <w:abstractNumId w:val="18"/>
  </w:num>
  <w:num w:numId="51">
    <w:abstractNumId w:val="16"/>
  </w:num>
  <w:num w:numId="52">
    <w:abstractNumId w:val="48"/>
  </w:num>
  <w:num w:numId="53">
    <w:abstractNumId w:val="53"/>
  </w:num>
  <w:num w:numId="54">
    <w:abstractNumId w:val="81"/>
  </w:num>
  <w:num w:numId="55">
    <w:abstractNumId w:val="56"/>
  </w:num>
  <w:num w:numId="56">
    <w:abstractNumId w:val="7"/>
  </w:num>
  <w:num w:numId="57">
    <w:abstractNumId w:val="91"/>
  </w:num>
  <w:num w:numId="58">
    <w:abstractNumId w:val="24"/>
  </w:num>
  <w:num w:numId="59">
    <w:abstractNumId w:val="40"/>
  </w:num>
  <w:num w:numId="60">
    <w:abstractNumId w:val="67"/>
  </w:num>
  <w:num w:numId="61">
    <w:abstractNumId w:val="66"/>
  </w:num>
  <w:num w:numId="62">
    <w:abstractNumId w:val="36"/>
  </w:num>
  <w:num w:numId="63">
    <w:abstractNumId w:val="59"/>
  </w:num>
  <w:num w:numId="64">
    <w:abstractNumId w:val="78"/>
  </w:num>
  <w:num w:numId="65">
    <w:abstractNumId w:val="4"/>
  </w:num>
  <w:num w:numId="66">
    <w:abstractNumId w:val="94"/>
  </w:num>
  <w:num w:numId="67">
    <w:abstractNumId w:val="60"/>
  </w:num>
  <w:num w:numId="68">
    <w:abstractNumId w:val="10"/>
  </w:num>
  <w:num w:numId="69">
    <w:abstractNumId w:val="64"/>
  </w:num>
  <w:num w:numId="70">
    <w:abstractNumId w:val="22"/>
  </w:num>
  <w:num w:numId="71">
    <w:abstractNumId w:val="38"/>
  </w:num>
  <w:num w:numId="72">
    <w:abstractNumId w:val="71"/>
  </w:num>
  <w:num w:numId="73">
    <w:abstractNumId w:val="89"/>
  </w:num>
  <w:num w:numId="74">
    <w:abstractNumId w:val="8"/>
  </w:num>
  <w:num w:numId="75">
    <w:abstractNumId w:val="20"/>
  </w:num>
  <w:num w:numId="76">
    <w:abstractNumId w:val="13"/>
  </w:num>
  <w:num w:numId="77">
    <w:abstractNumId w:val="85"/>
  </w:num>
  <w:num w:numId="78">
    <w:abstractNumId w:val="28"/>
  </w:num>
  <w:num w:numId="79">
    <w:abstractNumId w:val="82"/>
  </w:num>
  <w:num w:numId="80">
    <w:abstractNumId w:val="55"/>
  </w:num>
  <w:num w:numId="81">
    <w:abstractNumId w:val="54"/>
  </w:num>
  <w:num w:numId="82">
    <w:abstractNumId w:val="88"/>
  </w:num>
  <w:num w:numId="83">
    <w:abstractNumId w:val="3"/>
  </w:num>
  <w:num w:numId="84">
    <w:abstractNumId w:val="61"/>
  </w:num>
  <w:num w:numId="85">
    <w:abstractNumId w:val="15"/>
  </w:num>
  <w:num w:numId="86">
    <w:abstractNumId w:val="5"/>
  </w:num>
  <w:num w:numId="87">
    <w:abstractNumId w:val="21"/>
  </w:num>
  <w:num w:numId="88">
    <w:abstractNumId w:val="93"/>
  </w:num>
  <w:num w:numId="89">
    <w:abstractNumId w:val="6"/>
  </w:num>
  <w:num w:numId="90">
    <w:abstractNumId w:val="12"/>
  </w:num>
  <w:num w:numId="91">
    <w:abstractNumId w:val="73"/>
  </w:num>
  <w:num w:numId="92">
    <w:abstractNumId w:val="9"/>
  </w:num>
  <w:num w:numId="93">
    <w:abstractNumId w:val="92"/>
  </w:num>
  <w:num w:numId="94">
    <w:abstractNumId w:val="45"/>
  </w:num>
  <w:num w:numId="95">
    <w:abstractNumId w:val="4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E3"/>
    <w:rsid w:val="00001465"/>
    <w:rsid w:val="00001DBE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325D"/>
    <w:rsid w:val="00043EFB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84623"/>
    <w:rsid w:val="0008600B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D54B0"/>
    <w:rsid w:val="000E4C71"/>
    <w:rsid w:val="000E4E2C"/>
    <w:rsid w:val="000E530F"/>
    <w:rsid w:val="000F3681"/>
    <w:rsid w:val="000F759F"/>
    <w:rsid w:val="001011A5"/>
    <w:rsid w:val="00102E92"/>
    <w:rsid w:val="001064F7"/>
    <w:rsid w:val="0011230A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B5B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96838"/>
    <w:rsid w:val="001A0901"/>
    <w:rsid w:val="001A2073"/>
    <w:rsid w:val="001A3014"/>
    <w:rsid w:val="001B23CE"/>
    <w:rsid w:val="001B2687"/>
    <w:rsid w:val="001C002E"/>
    <w:rsid w:val="001C0B88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B2583"/>
    <w:rsid w:val="002C34EC"/>
    <w:rsid w:val="002C36B0"/>
    <w:rsid w:val="002C3A68"/>
    <w:rsid w:val="002C4509"/>
    <w:rsid w:val="002E0279"/>
    <w:rsid w:val="002E1531"/>
    <w:rsid w:val="002E6E7D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261F1"/>
    <w:rsid w:val="003306E6"/>
    <w:rsid w:val="0033091B"/>
    <w:rsid w:val="00333E0A"/>
    <w:rsid w:val="00337023"/>
    <w:rsid w:val="00337A40"/>
    <w:rsid w:val="0034170A"/>
    <w:rsid w:val="00345F00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A7A74"/>
    <w:rsid w:val="003B08D5"/>
    <w:rsid w:val="003B6330"/>
    <w:rsid w:val="003C5531"/>
    <w:rsid w:val="003D2A2B"/>
    <w:rsid w:val="003E2876"/>
    <w:rsid w:val="003E419A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3B2F"/>
    <w:rsid w:val="00484979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2BE3"/>
    <w:rsid w:val="0054416D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4491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5F6B99"/>
    <w:rsid w:val="006008D6"/>
    <w:rsid w:val="00603BE9"/>
    <w:rsid w:val="006042A3"/>
    <w:rsid w:val="0060668F"/>
    <w:rsid w:val="006075A7"/>
    <w:rsid w:val="0061175F"/>
    <w:rsid w:val="00611B53"/>
    <w:rsid w:val="00614554"/>
    <w:rsid w:val="00617FAD"/>
    <w:rsid w:val="00627546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29C7"/>
    <w:rsid w:val="00725140"/>
    <w:rsid w:val="00725FA2"/>
    <w:rsid w:val="0073400D"/>
    <w:rsid w:val="00734225"/>
    <w:rsid w:val="007426F5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0182"/>
    <w:rsid w:val="007E2F72"/>
    <w:rsid w:val="007E4696"/>
    <w:rsid w:val="007E6E89"/>
    <w:rsid w:val="007F301B"/>
    <w:rsid w:val="007F31C1"/>
    <w:rsid w:val="007F4705"/>
    <w:rsid w:val="007F4C0E"/>
    <w:rsid w:val="007F5FFC"/>
    <w:rsid w:val="00800428"/>
    <w:rsid w:val="0082374A"/>
    <w:rsid w:val="008262EF"/>
    <w:rsid w:val="00827F99"/>
    <w:rsid w:val="00834B7D"/>
    <w:rsid w:val="00837AB3"/>
    <w:rsid w:val="00843E30"/>
    <w:rsid w:val="00856873"/>
    <w:rsid w:val="00856F83"/>
    <w:rsid w:val="00860722"/>
    <w:rsid w:val="0086306C"/>
    <w:rsid w:val="00863B6A"/>
    <w:rsid w:val="008644E5"/>
    <w:rsid w:val="008712F8"/>
    <w:rsid w:val="0087316A"/>
    <w:rsid w:val="00875AFE"/>
    <w:rsid w:val="008767D1"/>
    <w:rsid w:val="00880B4E"/>
    <w:rsid w:val="00880F71"/>
    <w:rsid w:val="008842E4"/>
    <w:rsid w:val="00884618"/>
    <w:rsid w:val="0088513B"/>
    <w:rsid w:val="00887FAB"/>
    <w:rsid w:val="00891124"/>
    <w:rsid w:val="008917BD"/>
    <w:rsid w:val="00891BD4"/>
    <w:rsid w:val="0089228D"/>
    <w:rsid w:val="008943A4"/>
    <w:rsid w:val="008957D9"/>
    <w:rsid w:val="00897A7C"/>
    <w:rsid w:val="008A4A95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2CF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3302"/>
    <w:rsid w:val="00995C01"/>
    <w:rsid w:val="009A1C72"/>
    <w:rsid w:val="009A5D19"/>
    <w:rsid w:val="009B3623"/>
    <w:rsid w:val="009B429F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2DD3"/>
    <w:rsid w:val="00A23E8B"/>
    <w:rsid w:val="00A25FCC"/>
    <w:rsid w:val="00A36B2C"/>
    <w:rsid w:val="00A40853"/>
    <w:rsid w:val="00A426B2"/>
    <w:rsid w:val="00A47D9D"/>
    <w:rsid w:val="00A546A7"/>
    <w:rsid w:val="00A55926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5FC"/>
    <w:rsid w:val="00AC3B4E"/>
    <w:rsid w:val="00AC4767"/>
    <w:rsid w:val="00AC5656"/>
    <w:rsid w:val="00AD0725"/>
    <w:rsid w:val="00AD0AA6"/>
    <w:rsid w:val="00AE3533"/>
    <w:rsid w:val="00AF2729"/>
    <w:rsid w:val="00AF54D5"/>
    <w:rsid w:val="00B04BAF"/>
    <w:rsid w:val="00B05E40"/>
    <w:rsid w:val="00B06D20"/>
    <w:rsid w:val="00B06DE3"/>
    <w:rsid w:val="00B1050C"/>
    <w:rsid w:val="00B13AF8"/>
    <w:rsid w:val="00B22704"/>
    <w:rsid w:val="00B32D32"/>
    <w:rsid w:val="00B4084E"/>
    <w:rsid w:val="00B41686"/>
    <w:rsid w:val="00B41D9C"/>
    <w:rsid w:val="00B426A3"/>
    <w:rsid w:val="00B435F7"/>
    <w:rsid w:val="00B446B5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000D"/>
    <w:rsid w:val="00BE0B2C"/>
    <w:rsid w:val="00BE1513"/>
    <w:rsid w:val="00BE242B"/>
    <w:rsid w:val="00BE2710"/>
    <w:rsid w:val="00BE58A9"/>
    <w:rsid w:val="00BE6B77"/>
    <w:rsid w:val="00BF3475"/>
    <w:rsid w:val="00C03BC6"/>
    <w:rsid w:val="00C07A77"/>
    <w:rsid w:val="00C14505"/>
    <w:rsid w:val="00C22C21"/>
    <w:rsid w:val="00C278A4"/>
    <w:rsid w:val="00C41C06"/>
    <w:rsid w:val="00C45350"/>
    <w:rsid w:val="00C45F39"/>
    <w:rsid w:val="00C471EA"/>
    <w:rsid w:val="00C51FC9"/>
    <w:rsid w:val="00C65E2C"/>
    <w:rsid w:val="00C70232"/>
    <w:rsid w:val="00C74387"/>
    <w:rsid w:val="00C80DB0"/>
    <w:rsid w:val="00C863F7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D51C3"/>
    <w:rsid w:val="00CE0089"/>
    <w:rsid w:val="00CE10E2"/>
    <w:rsid w:val="00CE3D0B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62135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2693"/>
    <w:rsid w:val="00DA309C"/>
    <w:rsid w:val="00DA42F1"/>
    <w:rsid w:val="00DA7E9B"/>
    <w:rsid w:val="00DA7EF5"/>
    <w:rsid w:val="00DC3168"/>
    <w:rsid w:val="00DC40B3"/>
    <w:rsid w:val="00DC41FC"/>
    <w:rsid w:val="00DC7D5A"/>
    <w:rsid w:val="00DE0053"/>
    <w:rsid w:val="00DE017C"/>
    <w:rsid w:val="00DE1B28"/>
    <w:rsid w:val="00DF112C"/>
    <w:rsid w:val="00DF49C9"/>
    <w:rsid w:val="00DF73FF"/>
    <w:rsid w:val="00E011FA"/>
    <w:rsid w:val="00E01E72"/>
    <w:rsid w:val="00E02382"/>
    <w:rsid w:val="00E052BA"/>
    <w:rsid w:val="00E1016B"/>
    <w:rsid w:val="00E10CCA"/>
    <w:rsid w:val="00E1411A"/>
    <w:rsid w:val="00E142E7"/>
    <w:rsid w:val="00E31524"/>
    <w:rsid w:val="00E31644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657BE"/>
    <w:rsid w:val="00E67217"/>
    <w:rsid w:val="00E724ED"/>
    <w:rsid w:val="00E75177"/>
    <w:rsid w:val="00E7588B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A38D9"/>
    <w:rsid w:val="00EB0B5A"/>
    <w:rsid w:val="00EB3408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4520"/>
    <w:rsid w:val="00F069AE"/>
    <w:rsid w:val="00F27E04"/>
    <w:rsid w:val="00F323B7"/>
    <w:rsid w:val="00F33293"/>
    <w:rsid w:val="00F33E10"/>
    <w:rsid w:val="00F36FC5"/>
    <w:rsid w:val="00F3705B"/>
    <w:rsid w:val="00F40A1E"/>
    <w:rsid w:val="00F46613"/>
    <w:rsid w:val="00F477F4"/>
    <w:rsid w:val="00F5421D"/>
    <w:rsid w:val="00F54789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5E7"/>
    <w:rsid w:val="00FA26B6"/>
    <w:rsid w:val="00FA35CB"/>
    <w:rsid w:val="00FA4EA0"/>
    <w:rsid w:val="00FB1E43"/>
    <w:rsid w:val="00FB1F12"/>
    <w:rsid w:val="00FC1FBD"/>
    <w:rsid w:val="00FC501A"/>
    <w:rsid w:val="00FC586D"/>
    <w:rsid w:val="00FD23F9"/>
    <w:rsid w:val="00FF0B70"/>
    <w:rsid w:val="00FF231A"/>
    <w:rsid w:val="00FF414F"/>
    <w:rsid w:val="00FF5720"/>
    <w:rsid w:val="00FF5E3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ACDC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paragraph" w:customStyle="1" w:styleId="TBtexte">
    <w:name w:val="TB texte"/>
    <w:basedOn w:val="Normal"/>
    <w:rsid w:val="00542BE3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paragraph" w:customStyle="1" w:styleId="TBtexte">
    <w:name w:val="TB texte"/>
    <w:basedOn w:val="Normal"/>
    <w:rsid w:val="00542BE3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C7C61D630442ECAE6A4CBD007F9D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C8A23-4E32-44F2-95B6-FD39B3011018}"/>
      </w:docPartPr>
      <w:docPartBody>
        <w:p w:rsidR="005C70BB" w:rsidRDefault="005C70BB">
          <w:pPr>
            <w:pStyle w:val="A0C7C61D630442ECAE6A4CBD007F9D5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3FD100409643259BE3E66207DF8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9D807-7EE9-44D8-B1CB-A8F9349E8ACB}"/>
      </w:docPartPr>
      <w:docPartBody>
        <w:p w:rsidR="005C70BB" w:rsidRDefault="005C70BB">
          <w:pPr>
            <w:pStyle w:val="C73FD100409643259BE3E66207DF8E3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86BD1E639D4F9E8BAB560CD3A5F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F2F57-3D19-4DC7-B425-A2A8C9B0F72D}"/>
      </w:docPartPr>
      <w:docPartBody>
        <w:p w:rsidR="005C70BB" w:rsidRDefault="005C70BB">
          <w:pPr>
            <w:pStyle w:val="4686BD1E639D4F9E8BAB560CD3A5F2C6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0601ABF74045B194A7E1EEED5BD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7DEB9-4519-4DEF-B132-62068A94A074}"/>
      </w:docPartPr>
      <w:docPartBody>
        <w:p w:rsidR="005C70BB" w:rsidRDefault="005C70BB">
          <w:pPr>
            <w:pStyle w:val="CF0601ABF74045B194A7E1EEED5BDA48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734949D6FE44AB29BCAE8012DDF0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86B7A-0040-4722-99AB-F4C88A7F4168}"/>
      </w:docPartPr>
      <w:docPartBody>
        <w:p w:rsidR="00776BD7" w:rsidRDefault="00850C99" w:rsidP="00850C99">
          <w:pPr>
            <w:pStyle w:val="0734949D6FE44AB29BCAE8012DDF0044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ABA054760948888709621506BAC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42E6D-FD89-43CA-B9A2-D1EB424E46D0}"/>
      </w:docPartPr>
      <w:docPartBody>
        <w:p w:rsidR="00776BD7" w:rsidRDefault="00850C99" w:rsidP="00850C99">
          <w:pPr>
            <w:pStyle w:val="BDABA054760948888709621506BAC3F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DF937A46EE24725A341CABDD5420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7D9FD-21CD-48AA-8992-E990751FBB7B}"/>
      </w:docPartPr>
      <w:docPartBody>
        <w:p w:rsidR="00776BD7" w:rsidRDefault="00850C99" w:rsidP="00850C99">
          <w:pPr>
            <w:pStyle w:val="9DF937A46EE24725A341CABDD5420C1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BB"/>
    <w:rsid w:val="005C70BB"/>
    <w:rsid w:val="00776BD7"/>
    <w:rsid w:val="008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0C99"/>
    <w:rPr>
      <w:color w:val="808080"/>
    </w:rPr>
  </w:style>
  <w:style w:type="paragraph" w:customStyle="1" w:styleId="A0C7C61D630442ECAE6A4CBD007F9D5A">
    <w:name w:val="A0C7C61D630442ECAE6A4CBD007F9D5A"/>
  </w:style>
  <w:style w:type="paragraph" w:customStyle="1" w:styleId="C73FD100409643259BE3E66207DF8E3D">
    <w:name w:val="C73FD100409643259BE3E66207DF8E3D"/>
  </w:style>
  <w:style w:type="paragraph" w:customStyle="1" w:styleId="4686BD1E639D4F9E8BAB560CD3A5F2C6">
    <w:name w:val="4686BD1E639D4F9E8BAB560CD3A5F2C6"/>
  </w:style>
  <w:style w:type="paragraph" w:customStyle="1" w:styleId="CF0601ABF74045B194A7E1EEED5BDA48">
    <w:name w:val="CF0601ABF74045B194A7E1EEED5BDA48"/>
  </w:style>
  <w:style w:type="paragraph" w:customStyle="1" w:styleId="0734949D6FE44AB29BCAE8012DDF0044">
    <w:name w:val="0734949D6FE44AB29BCAE8012DDF0044"/>
    <w:rsid w:val="00850C99"/>
  </w:style>
  <w:style w:type="paragraph" w:customStyle="1" w:styleId="BDABA054760948888709621506BAC3FD">
    <w:name w:val="BDABA054760948888709621506BAC3FD"/>
    <w:rsid w:val="00850C99"/>
  </w:style>
  <w:style w:type="paragraph" w:customStyle="1" w:styleId="9DF937A46EE24725A341CABDD5420C11">
    <w:name w:val="9DF937A46EE24725A341CABDD5420C11"/>
    <w:rsid w:val="00850C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0C99"/>
    <w:rPr>
      <w:color w:val="808080"/>
    </w:rPr>
  </w:style>
  <w:style w:type="paragraph" w:customStyle="1" w:styleId="A0C7C61D630442ECAE6A4CBD007F9D5A">
    <w:name w:val="A0C7C61D630442ECAE6A4CBD007F9D5A"/>
  </w:style>
  <w:style w:type="paragraph" w:customStyle="1" w:styleId="C73FD100409643259BE3E66207DF8E3D">
    <w:name w:val="C73FD100409643259BE3E66207DF8E3D"/>
  </w:style>
  <w:style w:type="paragraph" w:customStyle="1" w:styleId="4686BD1E639D4F9E8BAB560CD3A5F2C6">
    <w:name w:val="4686BD1E639D4F9E8BAB560CD3A5F2C6"/>
  </w:style>
  <w:style w:type="paragraph" w:customStyle="1" w:styleId="CF0601ABF74045B194A7E1EEED5BDA48">
    <w:name w:val="CF0601ABF74045B194A7E1EEED5BDA48"/>
  </w:style>
  <w:style w:type="paragraph" w:customStyle="1" w:styleId="0734949D6FE44AB29BCAE8012DDF0044">
    <w:name w:val="0734949D6FE44AB29BCAE8012DDF0044"/>
    <w:rsid w:val="00850C99"/>
  </w:style>
  <w:style w:type="paragraph" w:customStyle="1" w:styleId="BDABA054760948888709621506BAC3FD">
    <w:name w:val="BDABA054760948888709621506BAC3FD"/>
    <w:rsid w:val="00850C99"/>
  </w:style>
  <w:style w:type="paragraph" w:customStyle="1" w:styleId="9DF937A46EE24725A341CABDD5420C11">
    <w:name w:val="9DF937A46EE24725A341CABDD5420C11"/>
    <w:rsid w:val="00850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A26B-ED8D-484F-AA68-FA53AE7D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Cloutier</dc:creator>
  <cp:lastModifiedBy>Melanie Gilbert</cp:lastModifiedBy>
  <cp:revision>2</cp:revision>
  <cp:lastPrinted>2019-03-06T19:59:00Z</cp:lastPrinted>
  <dcterms:created xsi:type="dcterms:W3CDTF">2024-12-19T19:19:00Z</dcterms:created>
  <dcterms:modified xsi:type="dcterms:W3CDTF">2024-12-19T19:19:00Z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