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0828AA" w:rsidRDefault="0003383A" w:rsidP="00891BD4">
      <w:pPr>
        <w:spacing w:before="0" w:after="0"/>
        <w:rPr>
          <w:color w:val="FF0000"/>
        </w:rPr>
      </w:pPr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1A588BB7" wp14:editId="51F4B163">
            <wp:simplePos x="0" y="0"/>
            <wp:positionH relativeFrom="column">
              <wp:posOffset>7636510</wp:posOffset>
            </wp:positionH>
            <wp:positionV relativeFrom="paragraph">
              <wp:posOffset>-1353820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2268"/>
        <w:gridCol w:w="2126"/>
        <w:gridCol w:w="2127"/>
        <w:gridCol w:w="1869"/>
      </w:tblGrid>
      <w:tr w:rsidR="008F6460" w:rsidRPr="00E9602C" w:rsidTr="00D917A8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7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869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D917A8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86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B43856" w:rsidRPr="00E9602C" w:rsidTr="000D0BE6">
        <w:trPr>
          <w:trHeight w:val="1080"/>
        </w:trPr>
        <w:tc>
          <w:tcPr>
            <w:tcW w:w="16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009A8" w:rsidRDefault="001009A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Fiole unidose</w:t>
            </w:r>
          </w:p>
          <w:p w:rsidR="00B43856" w:rsidRPr="00664B42" w:rsidRDefault="004F430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1080 mg/20 mL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43856" w:rsidRDefault="004F430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Déjà dilué</w:t>
            </w:r>
          </w:p>
          <w:p w:rsidR="00B02DA1" w:rsidRDefault="00B02DA1" w:rsidP="00664B42">
            <w:pPr>
              <w:pStyle w:val="Sansinterligne"/>
              <w:rPr>
                <w:sz w:val="20"/>
              </w:rPr>
            </w:pPr>
          </w:p>
          <w:p w:rsidR="00B02DA1" w:rsidRPr="00664B42" w:rsidRDefault="00B02DA1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Généralement préparé par la pharmacie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43856" w:rsidRPr="00664B42" w:rsidRDefault="004F4308" w:rsidP="00664B42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54 mg/mL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43856" w:rsidRPr="00664B42" w:rsidRDefault="00B02DA1" w:rsidP="00B02DA1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1080 mg </w:t>
            </w:r>
            <w:r w:rsidR="001009A8">
              <w:rPr>
                <w:sz w:val="20"/>
              </w:rPr>
              <w:t xml:space="preserve">(20 mL) </w:t>
            </w:r>
            <w:r>
              <w:rPr>
                <w:sz w:val="20"/>
              </w:rPr>
              <w:t>en p</w:t>
            </w:r>
            <w:r w:rsidR="00B43856">
              <w:rPr>
                <w:sz w:val="20"/>
              </w:rPr>
              <w:t xml:space="preserve">erfusion </w:t>
            </w:r>
            <w:r w:rsidR="00B43856" w:rsidRPr="001009A8">
              <w:rPr>
                <w:b/>
                <w:sz w:val="20"/>
              </w:rPr>
              <w:t>sous-cutanée</w:t>
            </w:r>
            <w:r w:rsidR="00B43856">
              <w:rPr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B43856" w:rsidRPr="00664B42" w:rsidRDefault="00B43856" w:rsidP="00664B42">
            <w:pPr>
              <w:pStyle w:val="Sansinterligne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02DA1" w:rsidRDefault="00B02DA1" w:rsidP="00B02DA1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</w:rPr>
              <w:t>En 30 minutes si 2 sites sont utilisés.</w:t>
            </w:r>
          </w:p>
          <w:p w:rsidR="00B43856" w:rsidRPr="00664B42" w:rsidRDefault="00B02DA1" w:rsidP="00B02DA1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</w:rPr>
              <w:t>En 60 minutes si 1 seul site est utilisé.</w:t>
            </w:r>
          </w:p>
        </w:tc>
        <w:tc>
          <w:tcPr>
            <w:tcW w:w="18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43856" w:rsidRDefault="004F4308" w:rsidP="004F4308">
            <w:pPr>
              <w:pStyle w:val="Sansinterligne"/>
              <w:jc w:val="left"/>
              <w:rPr>
                <w:sz w:val="20"/>
                <w:szCs w:val="20"/>
              </w:rPr>
            </w:pPr>
            <w:r w:rsidRPr="001009A8">
              <w:rPr>
                <w:sz w:val="20"/>
                <w:szCs w:val="20"/>
              </w:rPr>
              <w:t xml:space="preserve">Changer de site </w:t>
            </w:r>
            <w:r w:rsidR="001009A8">
              <w:rPr>
                <w:sz w:val="20"/>
                <w:szCs w:val="20"/>
              </w:rPr>
              <w:t xml:space="preserve">d’administration </w:t>
            </w:r>
            <w:r w:rsidRPr="001009A8">
              <w:rPr>
                <w:sz w:val="20"/>
                <w:szCs w:val="20"/>
              </w:rPr>
              <w:t>(</w:t>
            </w:r>
            <w:r w:rsidRPr="001009A8">
              <w:rPr>
                <w:sz w:val="20"/>
                <w:szCs w:val="20"/>
              </w:rPr>
              <w:t xml:space="preserve">abdomen, </w:t>
            </w:r>
            <w:r w:rsidR="001009A8">
              <w:rPr>
                <w:sz w:val="20"/>
                <w:szCs w:val="20"/>
              </w:rPr>
              <w:t xml:space="preserve"> cuisses, </w:t>
            </w:r>
            <w:r w:rsidRPr="001009A8">
              <w:rPr>
                <w:sz w:val="20"/>
                <w:szCs w:val="20"/>
              </w:rPr>
              <w:t>hanches ou haut des bras</w:t>
            </w:r>
            <w:r w:rsidRPr="001009A8">
              <w:rPr>
                <w:sz w:val="20"/>
                <w:szCs w:val="20"/>
              </w:rPr>
              <w:t>) à chaque perf</w:t>
            </w:r>
            <w:r w:rsidR="001009A8">
              <w:rPr>
                <w:sz w:val="20"/>
                <w:szCs w:val="20"/>
              </w:rPr>
              <w:t xml:space="preserve">usion </w:t>
            </w:r>
            <w:r w:rsidRPr="001009A8">
              <w:rPr>
                <w:sz w:val="20"/>
                <w:szCs w:val="20"/>
              </w:rPr>
              <w:t xml:space="preserve"> et distancer </w:t>
            </w:r>
            <w:r w:rsidR="001009A8">
              <w:rPr>
                <w:sz w:val="20"/>
                <w:szCs w:val="20"/>
              </w:rPr>
              <w:t xml:space="preserve">les sites </w:t>
            </w:r>
            <w:r w:rsidRPr="001009A8">
              <w:rPr>
                <w:sz w:val="20"/>
                <w:szCs w:val="20"/>
              </w:rPr>
              <w:t>d’au moins 3 pouces</w:t>
            </w:r>
            <w:r w:rsidR="006D663F">
              <w:rPr>
                <w:sz w:val="20"/>
                <w:szCs w:val="20"/>
              </w:rPr>
              <w:t>.</w:t>
            </w:r>
          </w:p>
          <w:p w:rsidR="004F4308" w:rsidRPr="001009A8" w:rsidRDefault="001009A8" w:rsidP="001009A8">
            <w:pPr>
              <w:pStyle w:val="Sansinterligne"/>
              <w:jc w:val="left"/>
              <w:rPr>
                <w:sz w:val="20"/>
                <w:szCs w:val="20"/>
              </w:rPr>
            </w:pPr>
            <w:r w:rsidRPr="001009A8">
              <w:rPr>
                <w:sz w:val="20"/>
                <w:szCs w:val="20"/>
              </w:rPr>
              <w:t>Éviter de perfuser dans les tatouages, cicatrices ou vergetures</w:t>
            </w:r>
            <w:r>
              <w:rPr>
                <w:sz w:val="20"/>
                <w:szCs w:val="20"/>
              </w:rPr>
              <w:t>.</w:t>
            </w:r>
          </w:p>
        </w:tc>
      </w:tr>
      <w:tr w:rsidR="00B43856" w:rsidRPr="00E9602C" w:rsidTr="00D917A8">
        <w:trPr>
          <w:trHeight w:val="950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B43856" w:rsidRDefault="00B43856" w:rsidP="00774376">
            <w:pPr>
              <w:keepNext/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D917A8">
              <w:rPr>
                <w:rFonts w:cstheme="minorHAnsi"/>
                <w:sz w:val="20"/>
                <w:szCs w:val="20"/>
              </w:rPr>
              <w:t>Conservation :</w:t>
            </w:r>
          </w:p>
          <w:p w:rsidR="00B43856" w:rsidRPr="00664B42" w:rsidRDefault="001009A8" w:rsidP="00675BDF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f</w:t>
            </w:r>
            <w:r w:rsidR="00B02DA1">
              <w:rPr>
                <w:sz w:val="20"/>
                <w:szCs w:val="20"/>
              </w:rPr>
              <w:t>rigo</w:t>
            </w:r>
          </w:p>
          <w:p w:rsidR="00B43856" w:rsidRPr="00C278A4" w:rsidRDefault="00B43856" w:rsidP="00675BDF">
            <w:pPr>
              <w:pStyle w:val="Sansinterligne"/>
              <w:jc w:val="left"/>
              <w:rPr>
                <w:sz w:val="21"/>
                <w:szCs w:val="21"/>
              </w:rPr>
            </w:pPr>
            <w:r w:rsidRPr="00664B42">
              <w:rPr>
                <w:sz w:val="20"/>
                <w:szCs w:val="20"/>
              </w:rPr>
              <w:t>Abri de la lumière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43856" w:rsidRPr="00E9602C" w:rsidRDefault="00B43856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43856" w:rsidRPr="00E9602C" w:rsidRDefault="00B43856" w:rsidP="00774376">
            <w:pPr>
              <w:keepNext/>
              <w:jc w:val="left"/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B43856" w:rsidRPr="00E9602C" w:rsidRDefault="00B43856" w:rsidP="00774376">
            <w:pPr>
              <w:keepNext/>
              <w:jc w:val="left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3856" w:rsidRPr="00E9602C" w:rsidRDefault="00B43856" w:rsidP="00774376">
            <w:pPr>
              <w:keepNext/>
              <w:jc w:val="left"/>
            </w:pPr>
          </w:p>
        </w:tc>
        <w:tc>
          <w:tcPr>
            <w:tcW w:w="2127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3856" w:rsidRPr="00E9602C" w:rsidRDefault="00B43856" w:rsidP="0065712B">
            <w:pPr>
              <w:keepNext/>
              <w:jc w:val="left"/>
            </w:pPr>
          </w:p>
        </w:tc>
        <w:tc>
          <w:tcPr>
            <w:tcW w:w="1869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3856" w:rsidRPr="00E9602C" w:rsidRDefault="00B43856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F85B56">
      <w:pPr>
        <w:spacing w:before="240" w:after="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306654" w:rsidP="009854CA">
            <w:pPr>
              <w:spacing w:after="0"/>
              <w:jc w:val="left"/>
            </w:pPr>
          </w:p>
        </w:tc>
        <w:tc>
          <w:tcPr>
            <w:tcW w:w="11650" w:type="dxa"/>
            <w:vAlign w:val="center"/>
          </w:tcPr>
          <w:p w:rsidR="00306654" w:rsidRDefault="00306654" w:rsidP="00675BDF">
            <w:pPr>
              <w:spacing w:after="0"/>
              <w:jc w:val="left"/>
            </w:pPr>
          </w:p>
        </w:tc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4F4308" w:rsidP="001009A8">
            <w:pPr>
              <w:spacing w:before="0" w:after="0"/>
              <w:ind w:right="-533"/>
              <w:jc w:val="left"/>
            </w:pPr>
            <w:r>
              <w:t>Seringue</w:t>
            </w:r>
            <w:r w:rsidR="00494B0D">
              <w:t> </w:t>
            </w:r>
            <w:r w:rsidR="00306654">
              <w:t xml:space="preserve">: </w:t>
            </w:r>
          </w:p>
        </w:tc>
        <w:sdt>
          <w:sdtPr>
            <w:id w:val="1960842908"/>
            <w:lock w:val="sdtLocked"/>
            <w:placeholder>
              <w:docPart w:val="1C530F0A9C0141FF9019FC312A1BD034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4F4308" w:rsidP="004F4308">
                <w:pPr>
                  <w:spacing w:after="0"/>
                  <w:jc w:val="left"/>
                </w:pPr>
                <w:r>
                  <w:t>Terminer l’ad</w:t>
                </w:r>
                <w:r w:rsidR="00F85B56">
                  <w:t>m</w:t>
                </w:r>
                <w:r>
                  <w:t>i</w:t>
                </w:r>
                <w:r w:rsidR="00F85B56">
                  <w:t>ni</w:t>
                </w:r>
                <w:r>
                  <w:t>stration dans les 2 heures suivant la préparation</w:t>
                </w:r>
              </w:p>
            </w:tc>
          </w:sdtContent>
        </w:sdt>
      </w:tr>
    </w:tbl>
    <w:p w:rsidR="00C65E2C" w:rsidRDefault="00A05B64" w:rsidP="00F85B56">
      <w:pPr>
        <w:spacing w:before="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0" w:name="_Toc424288453"/>
      <w:sdt>
        <w:sdtPr>
          <w:rPr>
            <w:rFonts w:cstheme="minorHAnsi"/>
          </w:rPr>
          <w:id w:val="-1968195364"/>
          <w:lock w:val="sdtLocked"/>
          <w:placeholder>
            <w:docPart w:val="D59E0199B5E5463F99C40AB4BC918D10"/>
          </w:placeholder>
        </w:sdtPr>
        <w:sdtEndPr/>
        <w:sdtContent>
          <w:r w:rsidR="00B02DA1">
            <w:rPr>
              <w:rFonts w:cstheme="minorHAnsi"/>
            </w:rPr>
            <w:t>NA</w:t>
          </w:r>
        </w:sdtContent>
      </w:sdt>
    </w:p>
    <w:p w:rsidR="00DE1B28" w:rsidRPr="00F36FC5" w:rsidRDefault="00C278A4" w:rsidP="00F85B56">
      <w:pPr>
        <w:spacing w:before="0"/>
        <w:jc w:val="left"/>
        <w:rPr>
          <w:rFonts w:cstheme="minorHAnsi"/>
          <w:b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  <w:b/>
          </w:rPr>
          <w:id w:val="189185613"/>
          <w:lock w:val="sdtLocked"/>
          <w:placeholder>
            <w:docPart w:val="DD60BF7FA9004262AB58A3D7CF1D9393"/>
          </w:placeholder>
        </w:sdtPr>
        <w:sdtEndPr/>
        <w:sdtContent>
          <w:r w:rsidR="00B02DA1">
            <w:rPr>
              <w:rFonts w:cstheme="minorHAnsi"/>
              <w:b/>
            </w:rPr>
            <w:t>NA</w:t>
          </w:r>
        </w:sdtContent>
      </w:sdt>
    </w:p>
    <w:p w:rsidR="00675BDF" w:rsidRDefault="00675BDF" w:rsidP="00675BDF">
      <w:pPr>
        <w:spacing w:after="0"/>
        <w:jc w:val="left"/>
        <w:rPr>
          <w:b/>
          <w:color w:val="00B050"/>
          <w:sz w:val="32"/>
          <w:szCs w:val="36"/>
        </w:rPr>
      </w:pPr>
    </w:p>
    <w:p w:rsidR="007F4C0E" w:rsidRDefault="007F4C0E" w:rsidP="00675BDF">
      <w:pPr>
        <w:spacing w:after="0"/>
        <w:jc w:val="left"/>
        <w:rPr>
          <w:b/>
          <w:color w:val="00B050"/>
          <w:sz w:val="32"/>
          <w:szCs w:val="36"/>
        </w:rPr>
        <w:sectPr w:rsidR="007F4C0E" w:rsidSect="006D1C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531" w:right="1440" w:bottom="851" w:left="1440" w:header="680" w:footer="567" w:gutter="0"/>
          <w:cols w:space="708"/>
          <w:docGrid w:linePitch="360"/>
        </w:sectPr>
      </w:pPr>
    </w:p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F85B56" w:rsidRDefault="00B43856" w:rsidP="00664B42">
            <w:pPr>
              <w:pStyle w:val="Sansinterligne"/>
              <w:rPr>
                <w:u w:val="single"/>
              </w:rPr>
            </w:pPr>
            <w:r w:rsidRPr="00B43856">
              <w:rPr>
                <w:u w:val="single"/>
              </w:rPr>
              <w:t>Contre-indication</w:t>
            </w:r>
            <w:r w:rsidR="001009A8">
              <w:rPr>
                <w:u w:val="single"/>
              </w:rPr>
              <w:t>s</w:t>
            </w:r>
            <w:r w:rsidRPr="00B43856">
              <w:rPr>
                <w:u w:val="single"/>
              </w:rPr>
              <w:t> :</w:t>
            </w:r>
            <w:r>
              <w:rPr>
                <w:u w:val="single"/>
              </w:rPr>
              <w:t xml:space="preserve"> </w:t>
            </w:r>
          </w:p>
          <w:p w:rsidR="00774376" w:rsidRDefault="001009A8" w:rsidP="00664B42">
            <w:pPr>
              <w:pStyle w:val="Sansinterligne"/>
            </w:pPr>
            <w:r>
              <w:t>I</w:t>
            </w:r>
            <w:r w:rsidR="00B43856">
              <w:t>nfection grave active causée par des bactéries encapsulées (ex : S. pneumoniae, H. influenzae)</w:t>
            </w:r>
          </w:p>
          <w:p w:rsidR="00F85B56" w:rsidRDefault="001009A8" w:rsidP="00664B42">
            <w:pPr>
              <w:pStyle w:val="Sansinterligne"/>
            </w:pPr>
            <w:r>
              <w:t>I</w:t>
            </w:r>
            <w:r w:rsidR="00F85B56">
              <w:t>ntolérance héréditaire au fructose</w:t>
            </w:r>
          </w:p>
          <w:p w:rsidR="001009A8" w:rsidRDefault="001009A8" w:rsidP="00664B42">
            <w:pPr>
              <w:pStyle w:val="Sansinterligne"/>
            </w:pPr>
          </w:p>
          <w:p w:rsidR="001009A8" w:rsidRPr="001009A8" w:rsidRDefault="001009A8" w:rsidP="00664B42">
            <w:pPr>
              <w:pStyle w:val="Sansinterligne"/>
              <w:rPr>
                <w:u w:val="single"/>
              </w:rPr>
            </w:pPr>
            <w:r w:rsidRPr="001009A8">
              <w:rPr>
                <w:u w:val="single"/>
              </w:rPr>
              <w:t xml:space="preserve">Précautions : </w:t>
            </w:r>
          </w:p>
          <w:p w:rsidR="00B43856" w:rsidRDefault="00B43856" w:rsidP="00664B42">
            <w:pPr>
              <w:pStyle w:val="Sansinterligne"/>
            </w:pPr>
            <w:r>
              <w:t>Les patients doivent être vaccinés contre les bactéries encapsulées au moins deux semaines avant de commencer la prise d’EMPAVELI</w:t>
            </w:r>
            <w:r>
              <w:t xml:space="preserve"> sinon recevoir une prophylaxie avec des antibiotiques jusqu’à 2 semaines post vaccination. </w:t>
            </w:r>
          </w:p>
          <w:p w:rsidR="001009A8" w:rsidRDefault="004B29DD" w:rsidP="00664B42">
            <w:pPr>
              <w:pStyle w:val="Sansinterligne"/>
            </w:pPr>
            <w:r>
              <w:t xml:space="preserve">La vaccination diminue mais n’élimine pas le risque de contracter </w:t>
            </w:r>
            <w:r>
              <w:t>ces</w:t>
            </w:r>
            <w:r>
              <w:t xml:space="preserve"> infection</w:t>
            </w:r>
            <w:r>
              <w:t>s.</w:t>
            </w:r>
          </w:p>
          <w:p w:rsidR="004B29DD" w:rsidRDefault="004B29DD" w:rsidP="00664B42">
            <w:pPr>
              <w:pStyle w:val="Sansinterligne"/>
            </w:pPr>
          </w:p>
          <w:p w:rsidR="00B43856" w:rsidRPr="00B02DA1" w:rsidRDefault="004F4308" w:rsidP="00664B42">
            <w:pPr>
              <w:pStyle w:val="Sansinterligne"/>
              <w:rPr>
                <w:u w:val="single"/>
              </w:rPr>
            </w:pPr>
            <w:r w:rsidRPr="00B02DA1">
              <w:rPr>
                <w:u w:val="single"/>
              </w:rPr>
              <w:t>Monitorage :</w:t>
            </w:r>
          </w:p>
          <w:p w:rsidR="004F4308" w:rsidRDefault="004F4308" w:rsidP="00664B42">
            <w:pPr>
              <w:pStyle w:val="Sansinterligne"/>
            </w:pPr>
            <w:r>
              <w:t>LDH</w:t>
            </w:r>
          </w:p>
          <w:p w:rsidR="00B02DA1" w:rsidRDefault="00B02DA1" w:rsidP="00664B42">
            <w:pPr>
              <w:pStyle w:val="Sansinterligne"/>
            </w:pPr>
            <w:r>
              <w:t>Signes et symptômes d’</w:t>
            </w:r>
            <w:r w:rsidR="001009A8">
              <w:t>infection</w:t>
            </w:r>
            <w:r>
              <w:t xml:space="preserve"> </w:t>
            </w:r>
          </w:p>
          <w:p w:rsidR="00F85B56" w:rsidRDefault="00B02DA1" w:rsidP="00664B42">
            <w:pPr>
              <w:pStyle w:val="Sansinterligne"/>
            </w:pPr>
            <w:r>
              <w:t xml:space="preserve">Signes et symptômes </w:t>
            </w:r>
            <w:r>
              <w:t>de réactions d’hypersensibilité</w:t>
            </w:r>
          </w:p>
          <w:p w:rsidR="004F4308" w:rsidRPr="00B43856" w:rsidRDefault="004F4308" w:rsidP="00664B42">
            <w:pPr>
              <w:pStyle w:val="Sansinterligne"/>
            </w:pPr>
          </w:p>
        </w:tc>
        <w:tc>
          <w:tcPr>
            <w:tcW w:w="6550" w:type="dxa"/>
          </w:tcPr>
          <w:p w:rsidR="00363019" w:rsidRDefault="00F85B56" w:rsidP="00664B42">
            <w:pPr>
              <w:pStyle w:val="Sansinterligne"/>
            </w:pPr>
            <w:r>
              <w:t xml:space="preserve">Prédisposition aux infections, notamment </w:t>
            </w:r>
            <w:r w:rsidR="00B43856">
              <w:t>aux infections graves causées par des bactéries encapsulées</w:t>
            </w:r>
          </w:p>
          <w:p w:rsidR="00F85B56" w:rsidRDefault="00F85B56" w:rsidP="00664B42">
            <w:pPr>
              <w:pStyle w:val="Sansinterligne"/>
            </w:pPr>
            <w:r>
              <w:t>Réactions d’hypersensibilité y compris l’anaphylaxie</w:t>
            </w:r>
          </w:p>
          <w:p w:rsidR="00F85B56" w:rsidRDefault="00F85B56" w:rsidP="00664B42">
            <w:pPr>
              <w:pStyle w:val="Sansinterligne"/>
            </w:pPr>
            <w:r>
              <w:t>Réactions au site d’injection : érythème enflure, induration, douleur, prurit</w:t>
            </w:r>
          </w:p>
          <w:p w:rsidR="00F85B56" w:rsidRDefault="00F85B56" w:rsidP="00664B42">
            <w:pPr>
              <w:pStyle w:val="Sansinterligne"/>
            </w:pPr>
            <w:r>
              <w:t>Douleur abdominale, diarrhée</w:t>
            </w:r>
          </w:p>
          <w:p w:rsidR="00F85B56" w:rsidRDefault="00F85B56" w:rsidP="00664B42">
            <w:pPr>
              <w:pStyle w:val="Sansinterligne"/>
            </w:pPr>
            <w:r>
              <w:t>Fatigue</w:t>
            </w:r>
          </w:p>
          <w:p w:rsidR="00F85B56" w:rsidRDefault="00F85B56" w:rsidP="00664B42">
            <w:pPr>
              <w:pStyle w:val="Sansinterligne"/>
            </w:pPr>
            <w:r>
              <w:t>Infections respiratoires</w:t>
            </w:r>
          </w:p>
          <w:p w:rsidR="00F85B56" w:rsidRDefault="00F85B56" w:rsidP="00664B42">
            <w:pPr>
              <w:pStyle w:val="Sansinterligne"/>
            </w:pPr>
            <w:r>
              <w:t>Hypertension</w:t>
            </w:r>
          </w:p>
          <w:p w:rsidR="00F85B56" w:rsidRDefault="00F85B56" w:rsidP="00664B42">
            <w:pPr>
              <w:pStyle w:val="Sansinterligne"/>
            </w:pPr>
            <w:r>
              <w:t>Céphalées</w:t>
            </w:r>
          </w:p>
          <w:p w:rsidR="00F85B56" w:rsidRPr="00664B42" w:rsidRDefault="00F85B56" w:rsidP="00664B42">
            <w:pPr>
              <w:pStyle w:val="Sansinterligne"/>
            </w:pPr>
            <w:r>
              <w:t>Douleur au dos</w:t>
            </w:r>
          </w:p>
        </w:tc>
      </w:tr>
    </w:tbl>
    <w:p w:rsidR="00875AFE" w:rsidRDefault="00875AFE" w:rsidP="00875AFE">
      <w:pPr>
        <w:rPr>
          <w:rFonts w:cstheme="minorHAnsi"/>
        </w:rPr>
      </w:pPr>
    </w:p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6D1CD5"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E4" w:rsidRDefault="000463E4" w:rsidP="008F3D94">
      <w:pPr>
        <w:spacing w:after="0" w:line="240" w:lineRule="auto"/>
      </w:pPr>
      <w:r>
        <w:separator/>
      </w:r>
    </w:p>
  </w:endnote>
  <w:endnote w:type="continuationSeparator" w:id="0">
    <w:p w:rsidR="000463E4" w:rsidRDefault="000463E4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14" w:rsidRDefault="004952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0463E4">
      <w:rPr>
        <w:b/>
        <w:noProof/>
      </w:rPr>
      <w:t>2024-09-03 09:54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FA35BA" w:rsidRPr="00FA35BA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FA35BA" w:rsidRPr="00FA35BA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14" w:rsidRDefault="004952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E4" w:rsidRDefault="000463E4" w:rsidP="008F3D94">
      <w:pPr>
        <w:spacing w:after="0" w:line="240" w:lineRule="auto"/>
      </w:pPr>
      <w:r>
        <w:separator/>
      </w:r>
    </w:p>
  </w:footnote>
  <w:footnote w:type="continuationSeparator" w:id="0">
    <w:p w:rsidR="000463E4" w:rsidRDefault="000463E4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FA35B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7196" w:type="dxa"/>
      <w:tblLook w:val="04A0" w:firstRow="1" w:lastRow="0" w:firstColumn="1" w:lastColumn="0" w:noHBand="0" w:noVBand="1"/>
    </w:tblPr>
    <w:tblGrid>
      <w:gridCol w:w="5980"/>
    </w:tblGrid>
    <w:tr w:rsidR="00664B42" w:rsidRPr="00A426B2" w:rsidTr="00875AFE">
      <w:tc>
        <w:tcPr>
          <w:tcW w:w="5980" w:type="dxa"/>
        </w:tcPr>
        <w:p w:rsidR="00664B42" w:rsidRDefault="004E55CA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BAC5240" wp14:editId="4CDC5A09">
                    <wp:simplePos x="0" y="0"/>
                    <wp:positionH relativeFrom="column">
                      <wp:posOffset>-4921308</wp:posOffset>
                    </wp:positionH>
                    <wp:positionV relativeFrom="paragraph">
                      <wp:posOffset>-58420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387.5pt;margin-top:-4.6pt;width:127.45pt;height: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" filled="f" stroked="f">
                    <v:textbox>
                      <w:txbxContent>
                        <w:p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64B42"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3C76DD9E" wp14:editId="3720C1C7">
                <wp:simplePos x="0" y="0"/>
                <wp:positionH relativeFrom="column">
                  <wp:posOffset>-256513</wp:posOffset>
                </wp:positionH>
                <wp:positionV relativeFrom="paragraph">
                  <wp:posOffset>1298</wp:posOffset>
                </wp:positionV>
                <wp:extent cx="351149" cy="351183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149" cy="35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664B42" w:rsidRPr="00A426B2" w:rsidRDefault="004F4308" w:rsidP="00495214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Disponible uniquement via </w:t>
          </w:r>
          <w:r w:rsidR="006D663F">
            <w:rPr>
              <w:rFonts w:ascii="Arial Narrow" w:hAnsi="Arial Narrow"/>
              <w:b/>
              <w:smallCaps/>
              <w:sz w:val="21"/>
              <w:szCs w:val="21"/>
            </w:rPr>
            <w:t>le</w: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 programme de distribution contrôlé</w:t>
          </w:r>
          <w:r w:rsidR="00495214">
            <w:rPr>
              <w:rFonts w:ascii="Arial Narrow" w:hAnsi="Arial Narrow"/>
              <w:b/>
              <w:smallCaps/>
              <w:sz w:val="21"/>
              <w:szCs w:val="21"/>
            </w:rPr>
            <w:t xml:space="preserve"> D’empaveli </w:t>
          </w:r>
          <w:bookmarkStart w:id="1" w:name="_GoBack"/>
          <w:r w:rsidR="00FA35BA"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76672" behindDoc="0" locked="1" layoutInCell="1" allowOverlap="1" wp14:anchorId="7E4E5D57" wp14:editId="1F5FBFA1">
                <wp:simplePos x="0" y="0"/>
                <wp:positionH relativeFrom="column">
                  <wp:posOffset>3096260</wp:posOffset>
                </wp:positionH>
                <wp:positionV relativeFrom="paragraph">
                  <wp:posOffset>85090</wp:posOffset>
                </wp:positionV>
                <wp:extent cx="753110" cy="739775"/>
                <wp:effectExtent l="57150" t="95250" r="294640" b="288925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1"/>
        </w:p>
      </w:tc>
    </w:tr>
  </w:tbl>
  <w:p w:rsidR="00664B42" w:rsidRDefault="00664B42" w:rsidP="006D1CD5">
    <w:pPr>
      <w:spacing w:before="0" w:after="0"/>
    </w:pPr>
  </w:p>
  <w:tbl>
    <w:tblPr>
      <w:tblStyle w:val="Grilledutableau"/>
      <w:tblW w:w="0" w:type="auto"/>
      <w:tblInd w:w="7196" w:type="dxa"/>
      <w:tblLook w:val="04A0" w:firstRow="1" w:lastRow="0" w:firstColumn="1" w:lastColumn="0" w:noHBand="0" w:noVBand="1"/>
    </w:tblPr>
    <w:tblGrid>
      <w:gridCol w:w="4570"/>
      <w:gridCol w:w="1410"/>
    </w:tblGrid>
    <w:tr w:rsidR="00875AFE" w:rsidTr="00501D76">
      <w:trPr>
        <w:trHeight w:val="454"/>
      </w:trPr>
      <w:sdt>
        <w:sdtPr>
          <w:rPr>
            <w:rStyle w:val="Style7"/>
          </w:rPr>
          <w:alias w:val="Nom du médicament"/>
          <w:tag w:val="Nom du médicament"/>
          <w:id w:val="-1865515121"/>
          <w:placeholder/>
        </w:sdtPr>
        <w:sdtEndPr>
          <w:rPr>
            <w:rStyle w:val="Style7"/>
          </w:rPr>
        </w:sdtEndPr>
        <w:sdtContent>
          <w:tc>
            <w:tcPr>
              <w:tcW w:w="934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:rsidR="00875AFE" w:rsidRPr="00875AFE" w:rsidRDefault="000463E4" w:rsidP="000463E4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r>
                <w:rPr>
                  <w:rStyle w:val="Style7"/>
                </w:rPr>
                <w:t>Pegcétacoplan (Empaveli</w:t>
              </w:r>
              <w:r w:rsidRPr="000463E4">
                <w:rPr>
                  <w:rStyle w:val="Style7"/>
                  <w:vertAlign w:val="superscript"/>
                </w:rPr>
                <w:t>md</w:t>
              </w:r>
              <w:r>
                <w:rPr>
                  <w:rStyle w:val="Style7"/>
                </w:rPr>
                <w:t>)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26"/>
      <w:gridCol w:w="4536"/>
      <w:gridCol w:w="709"/>
      <w:gridCol w:w="2268"/>
      <w:gridCol w:w="4061"/>
    </w:tblGrid>
    <w:tr w:rsidR="00891BD4" w:rsidRPr="00991F8D" w:rsidTr="00E474FF">
      <w:trPr>
        <w:trHeight w:val="454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91BD4" w:rsidRPr="00991F8D" w:rsidRDefault="00891BD4" w:rsidP="00E474FF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</w:pPr>
          <w:r w:rsidRPr="00991F8D">
            <w:t xml:space="preserve"> </w:t>
          </w:r>
          <w:r w:rsidR="000463E4">
            <w:t>Hémoglobinurie nocturne paroxystique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  <w:color w:val="00B050"/>
            </w:rPr>
          </w:pPr>
          <w:r w:rsidRPr="00991F8D">
            <w:rPr>
              <w:b/>
            </w:rPr>
            <w:t>Classe thérapeutique</w:t>
          </w:r>
          <w:r w:rsidRPr="00991F8D"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91BD4" w:rsidRPr="00363019" w:rsidRDefault="00B43856" w:rsidP="00E474FF">
          <w:pPr>
            <w:spacing w:before="120" w:after="0"/>
            <w:jc w:val="left"/>
          </w:pPr>
          <w:r>
            <w:t>Immunosuppresseur, inhibiteur du complément C3</w:t>
          </w:r>
        </w:p>
      </w:tc>
    </w:tr>
  </w:tbl>
  <w:p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FA35B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5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6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88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4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7"/>
  </w:num>
  <w:num w:numId="89">
    <w:abstractNumId w:val="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E4"/>
    <w:rsid w:val="00001465"/>
    <w:rsid w:val="00001DBE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63E4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09A8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A1787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239C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52774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214"/>
    <w:rsid w:val="00495614"/>
    <w:rsid w:val="00497B30"/>
    <w:rsid w:val="004A3746"/>
    <w:rsid w:val="004A5B5F"/>
    <w:rsid w:val="004A5C64"/>
    <w:rsid w:val="004A75C8"/>
    <w:rsid w:val="004B29DD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4F4308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63F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2C12"/>
    <w:rsid w:val="008B454D"/>
    <w:rsid w:val="008B4FBA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2DA1"/>
    <w:rsid w:val="00B04BAF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43856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B56"/>
    <w:rsid w:val="00F85D4A"/>
    <w:rsid w:val="00F90579"/>
    <w:rsid w:val="00F91531"/>
    <w:rsid w:val="00F919AE"/>
    <w:rsid w:val="00F93398"/>
    <w:rsid w:val="00FA26B6"/>
    <w:rsid w:val="00FA35BA"/>
    <w:rsid w:val="00FA35CB"/>
    <w:rsid w:val="00FA4EA0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DSP\080-PHARMACIE-CHUS\Cahier%2012B%20(restaure)\NOUVELLE%20VERSION%20Standardisation%2012B\Gabarit%20et%20harmonisation%20des%20fiches\Gabarit_Fiche-(11-202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530F0A9C0141FF9019FC312A1BD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FA19F-63D2-426E-9B02-237BD451D4B9}"/>
      </w:docPartPr>
      <w:docPartBody>
        <w:p w:rsidR="00000000" w:rsidRDefault="00833B1A">
          <w:pPr>
            <w:pStyle w:val="1C530F0A9C0141FF9019FC312A1BD03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9E0199B5E5463F99C40AB4BC918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A2B03-1AB9-4B7D-9FFC-A2970DEFE56F}"/>
      </w:docPartPr>
      <w:docPartBody>
        <w:p w:rsidR="00000000" w:rsidRDefault="00833B1A">
          <w:pPr>
            <w:pStyle w:val="D59E0199B5E5463F99C40AB4BC918D1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60BF7FA9004262AB58A3D7CF1D9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44C06-40E7-4D18-8C46-C77E20796D7B}"/>
      </w:docPartPr>
      <w:docPartBody>
        <w:p w:rsidR="00000000" w:rsidRDefault="00833B1A">
          <w:pPr>
            <w:pStyle w:val="DD60BF7FA9004262AB58A3D7CF1D939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015E6593D68436D9183ED292121DA4F">
    <w:name w:val="2015E6593D68436D9183ED292121DA4F"/>
  </w:style>
  <w:style w:type="paragraph" w:customStyle="1" w:styleId="1C530F0A9C0141FF9019FC312A1BD034">
    <w:name w:val="1C530F0A9C0141FF9019FC312A1BD034"/>
  </w:style>
  <w:style w:type="paragraph" w:customStyle="1" w:styleId="D59E0199B5E5463F99C40AB4BC918D10">
    <w:name w:val="D59E0199B5E5463F99C40AB4BC918D10"/>
  </w:style>
  <w:style w:type="paragraph" w:customStyle="1" w:styleId="DD60BF7FA9004262AB58A3D7CF1D9393">
    <w:name w:val="DD60BF7FA9004262AB58A3D7CF1D93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015E6593D68436D9183ED292121DA4F">
    <w:name w:val="2015E6593D68436D9183ED292121DA4F"/>
  </w:style>
  <w:style w:type="paragraph" w:customStyle="1" w:styleId="1C530F0A9C0141FF9019FC312A1BD034">
    <w:name w:val="1C530F0A9C0141FF9019FC312A1BD034"/>
  </w:style>
  <w:style w:type="paragraph" w:customStyle="1" w:styleId="D59E0199B5E5463F99C40AB4BC918D10">
    <w:name w:val="D59E0199B5E5463F99C40AB4BC918D10"/>
  </w:style>
  <w:style w:type="paragraph" w:customStyle="1" w:styleId="DD60BF7FA9004262AB58A3D7CF1D9393">
    <w:name w:val="DD60BF7FA9004262AB58A3D7CF1D9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7A46-8D6F-4C75-86B2-E95247C1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Gabarit_Fiche-(11-2020)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Cloutier</dc:creator>
  <cp:lastModifiedBy>Sylvie Cloutier</cp:lastModifiedBy>
  <cp:revision>2</cp:revision>
  <cp:lastPrinted>2019-03-06T19:59:00Z</cp:lastPrinted>
  <dcterms:created xsi:type="dcterms:W3CDTF">2024-09-03T16:04:00Z</dcterms:created>
  <dcterms:modified xsi:type="dcterms:W3CDTF">2024-09-03T16:04:00Z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